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08" w:type="dxa"/>
        </w:tblCellMar>
        <w:tblLook w:val="0600" w:firstRow="0" w:lastRow="0" w:firstColumn="0" w:lastColumn="0" w:noHBand="1" w:noVBand="1"/>
      </w:tblPr>
      <w:tblGrid>
        <w:gridCol w:w="1124"/>
        <w:gridCol w:w="7902"/>
      </w:tblGrid>
      <w:tr w:rsidR="009E6F90" w14:paraId="703FF980" w14:textId="77777777" w:rsidTr="00485DF9">
        <w:tc>
          <w:tcPr>
            <w:tcW w:w="0" w:type="auto"/>
            <w:gridSpan w:val="2"/>
          </w:tcPr>
          <w:p w14:paraId="3EF24B4F" w14:textId="77777777" w:rsidR="009E6F90" w:rsidRDefault="009E6F90" w:rsidP="00485DF9">
            <w:r>
              <w:fldChar w:fldCharType="begin"/>
            </w:r>
            <w:r>
              <w:instrText>HYPERLINK "https://www.crohnscolitisfoundation.org/research/grants-fellowships/ibd-plexus" \h</w:instrText>
            </w:r>
            <w:r>
              <w:fldChar w:fldCharType="separate"/>
            </w:r>
            <w:r>
              <w:rPr>
                <w:color w:val="000080"/>
                <w:sz w:val="22"/>
                <w:u w:val="single"/>
              </w:rPr>
              <w:t>Inflammatory bowel diseases plexus</w:t>
            </w:r>
            <w:r>
              <w:rPr>
                <w:color w:val="000080"/>
                <w:sz w:val="22"/>
                <w:u w:val="single"/>
              </w:rPr>
              <w:fldChar w:fldCharType="end"/>
            </w:r>
          </w:p>
        </w:tc>
      </w:tr>
      <w:tr w:rsidR="009E6F90" w14:paraId="17F74423" w14:textId="77777777" w:rsidTr="00485DF9">
        <w:tc>
          <w:tcPr>
            <w:tcW w:w="0" w:type="auto"/>
          </w:tcPr>
          <w:p w14:paraId="6153A19A" w14:textId="77777777" w:rsidR="009E6F90" w:rsidRDefault="009E6F90" w:rsidP="00485DF9">
            <w:r>
              <w:t>Funder</w:t>
            </w:r>
          </w:p>
        </w:tc>
        <w:tc>
          <w:tcPr>
            <w:tcW w:w="0" w:type="auto"/>
          </w:tcPr>
          <w:p w14:paraId="606B85C2" w14:textId="77777777" w:rsidR="009E6F90" w:rsidRDefault="00000000" w:rsidP="00485DF9">
            <w:hyperlink r:id="rId5">
              <w:r w:rsidR="009E6F90">
                <w:rPr>
                  <w:color w:val="000080"/>
                  <w:u w:val="single"/>
                </w:rPr>
                <w:t>Crohn's and Colitis Foundation of America, Inc. (CCFA)</w:t>
              </w:r>
            </w:hyperlink>
          </w:p>
        </w:tc>
      </w:tr>
      <w:tr w:rsidR="009E6F90" w14:paraId="05930E26" w14:textId="77777777" w:rsidTr="00485DF9">
        <w:tc>
          <w:tcPr>
            <w:tcW w:w="0" w:type="auto"/>
          </w:tcPr>
          <w:p w14:paraId="03FDB255"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564"/>
              <w:gridCol w:w="1542"/>
              <w:gridCol w:w="4564"/>
            </w:tblGrid>
            <w:tr w:rsidR="009E6F90" w14:paraId="18AEFDA2" w14:textId="77777777" w:rsidTr="00485DF9">
              <w:tc>
                <w:tcPr>
                  <w:tcW w:w="0" w:type="auto"/>
                </w:tcPr>
                <w:p w14:paraId="36AF2286" w14:textId="77777777" w:rsidR="009E6F90" w:rsidRDefault="009E6F90" w:rsidP="00485DF9">
                  <w:r>
                    <w:rPr>
                      <w:b/>
                    </w:rPr>
                    <w:t>Date</w:t>
                  </w:r>
                </w:p>
              </w:tc>
              <w:tc>
                <w:tcPr>
                  <w:tcW w:w="0" w:type="auto"/>
                </w:tcPr>
                <w:p w14:paraId="77CC38A1" w14:textId="77777777" w:rsidR="009E6F90" w:rsidRDefault="009E6F90" w:rsidP="00485DF9">
                  <w:r>
                    <w:rPr>
                      <w:b/>
                    </w:rPr>
                    <w:t>What's due</w:t>
                  </w:r>
                </w:p>
              </w:tc>
              <w:tc>
                <w:tcPr>
                  <w:tcW w:w="0" w:type="auto"/>
                </w:tcPr>
                <w:p w14:paraId="70A58367" w14:textId="77777777" w:rsidR="009E6F90" w:rsidRDefault="009E6F90" w:rsidP="00485DF9">
                  <w:r>
                    <w:rPr>
                      <w:b/>
                    </w:rPr>
                    <w:t>Notes</w:t>
                  </w:r>
                </w:p>
              </w:tc>
            </w:tr>
            <w:tr w:rsidR="009E6F90" w14:paraId="262A0B6E" w14:textId="77777777" w:rsidTr="00485DF9">
              <w:tc>
                <w:tcPr>
                  <w:tcW w:w="0" w:type="auto"/>
                </w:tcPr>
                <w:p w14:paraId="0C44E308" w14:textId="77777777" w:rsidR="009E6F90" w:rsidRDefault="009E6F90" w:rsidP="00485DF9">
                  <w:r>
                    <w:t xml:space="preserve"> - Confirmed / sponsor</w:t>
                  </w:r>
                </w:p>
              </w:tc>
              <w:tc>
                <w:tcPr>
                  <w:tcW w:w="0" w:type="auto"/>
                </w:tcPr>
                <w:p w14:paraId="49C65FB4" w14:textId="77777777" w:rsidR="009E6F90" w:rsidRDefault="009E6F90" w:rsidP="00485DF9">
                  <w:r>
                    <w:t>Application - required</w:t>
                  </w:r>
                </w:p>
              </w:tc>
              <w:tc>
                <w:tcPr>
                  <w:tcW w:w="0" w:type="auto"/>
                </w:tcPr>
                <w:p w14:paraId="5A526643" w14:textId="77777777" w:rsidR="009E6F90" w:rsidRDefault="009E6F90" w:rsidP="00485DF9">
                  <w:r>
                    <w:t>Proposals are reviewed six times per year and are accepted until all awards are distributed.</w:t>
                  </w:r>
                </w:p>
              </w:tc>
            </w:tr>
          </w:tbl>
          <w:p w14:paraId="360554CD" w14:textId="77777777" w:rsidR="009E6F90" w:rsidRDefault="009E6F90" w:rsidP="00485DF9"/>
        </w:tc>
      </w:tr>
      <w:tr w:rsidR="009E6F90" w14:paraId="17ED0510" w14:textId="77777777" w:rsidTr="00485DF9">
        <w:tc>
          <w:tcPr>
            <w:tcW w:w="0" w:type="auto"/>
          </w:tcPr>
          <w:p w14:paraId="75927AD4" w14:textId="77777777" w:rsidR="009E6F90" w:rsidRDefault="009E6F90" w:rsidP="00485DF9">
            <w:r>
              <w:t>Eligibility</w:t>
            </w:r>
          </w:p>
        </w:tc>
        <w:tc>
          <w:tcPr>
            <w:tcW w:w="0" w:type="auto"/>
          </w:tcPr>
          <w:p w14:paraId="0F7F0B9B" w14:textId="77777777" w:rsidR="009E6F90" w:rsidRDefault="009E6F90" w:rsidP="00485DF9">
            <w:r>
              <w:t>The lead PI must be an investigator with expertise in a relevant field of research. The PI and any co-PIs must be employed by an institution engaged in health care or health care-related research. Proposals involving multiple institutions are welcome.</w:t>
            </w:r>
          </w:p>
        </w:tc>
      </w:tr>
      <w:tr w:rsidR="009E6F90" w14:paraId="290B654D" w14:textId="77777777" w:rsidTr="00485DF9">
        <w:tc>
          <w:tcPr>
            <w:tcW w:w="0" w:type="auto"/>
          </w:tcPr>
          <w:p w14:paraId="7AE802C9" w14:textId="77777777" w:rsidR="009E6F90" w:rsidRDefault="009E6F90" w:rsidP="00485DF9">
            <w:r>
              <w:t>Abstract</w:t>
            </w:r>
          </w:p>
        </w:tc>
        <w:tc>
          <w:tcPr>
            <w:tcW w:w="0" w:type="auto"/>
          </w:tcPr>
          <w:p w14:paraId="31BFE044" w14:textId="77777777" w:rsidR="009E6F90" w:rsidRDefault="009E6F90" w:rsidP="00485DF9">
            <w:r>
              <w:t xml:space="preserve">Crohn's and Colitis Foundation of America invites proposals for its Inflammatory bowel diseases plexus opportunity. This provides academic and industry researchers with access to research-ready datasets and </w:t>
            </w:r>
            <w:proofErr w:type="spellStart"/>
            <w:r>
              <w:t>biosamples</w:t>
            </w:r>
            <w:proofErr w:type="spellEnd"/>
            <w:r>
              <w:t xml:space="preserve"> to more rapidly perform activities that promise to speed treatment development, </w:t>
            </w:r>
            <w:proofErr w:type="spellStart"/>
            <w:r>
              <w:t>optimise</w:t>
            </w:r>
            <w:proofErr w:type="spellEnd"/>
            <w:r>
              <w:t xml:space="preserve"> existing therapies through development of biomarkers and diagnostics, and improve health outcomes. Proposals that would </w:t>
            </w:r>
            <w:proofErr w:type="spellStart"/>
            <w:r>
              <w:t>utilise</w:t>
            </w:r>
            <w:proofErr w:type="spellEnd"/>
            <w:r>
              <w:t xml:space="preserve"> IBD Plexus </w:t>
            </w:r>
            <w:proofErr w:type="spellStart"/>
            <w:r>
              <w:t>biosamples</w:t>
            </w:r>
            <w:proofErr w:type="spellEnd"/>
            <w:r>
              <w:t xml:space="preserve"> or data to facilitate efforts </w:t>
            </w:r>
            <w:proofErr w:type="gramStart"/>
            <w:r>
              <w:t>in:</w:t>
            </w:r>
            <w:proofErr w:type="gramEnd"/>
            <w:r>
              <w:t xml:space="preserve"> identification or validation of diagnostics or biomarkers; therapeutic development and </w:t>
            </w:r>
            <w:proofErr w:type="spellStart"/>
            <w:r>
              <w:t>optimisation</w:t>
            </w:r>
            <w:proofErr w:type="spellEnd"/>
            <w:r>
              <w:t>; disease management; or disease prevention.</w:t>
            </w:r>
          </w:p>
        </w:tc>
      </w:tr>
      <w:tr w:rsidR="009E6F90" w14:paraId="7C55FA1E" w14:textId="77777777" w:rsidTr="00485DF9">
        <w:tc>
          <w:tcPr>
            <w:tcW w:w="0" w:type="auto"/>
          </w:tcPr>
          <w:p w14:paraId="3539F139" w14:textId="77777777" w:rsidR="009E6F90" w:rsidRDefault="009E6F90" w:rsidP="00485DF9">
            <w:r>
              <w:t>Website</w:t>
            </w:r>
          </w:p>
        </w:tc>
        <w:tc>
          <w:tcPr>
            <w:tcW w:w="0" w:type="auto"/>
          </w:tcPr>
          <w:p w14:paraId="3D02E055" w14:textId="1FC79846" w:rsidR="009E6F90" w:rsidRDefault="00000000" w:rsidP="00485DF9">
            <w:pPr>
              <w:rPr>
                <w:color w:val="000080"/>
                <w:u w:val="single"/>
              </w:rPr>
            </w:pPr>
            <w:hyperlink r:id="rId6">
              <w:r w:rsidR="009E6F90">
                <w:rPr>
                  <w:color w:val="000080"/>
                  <w:u w:val="single"/>
                </w:rPr>
                <w:t>https://www.crohnscolitisfoundation.org/research/grants-fellowships/ibd-plexus</w:t>
              </w:r>
            </w:hyperlink>
          </w:p>
          <w:p w14:paraId="0AE7DEAB" w14:textId="77777777" w:rsidR="009E6F90" w:rsidRDefault="009E6F90" w:rsidP="00485DF9"/>
        </w:tc>
      </w:tr>
      <w:tr w:rsidR="009E6F90" w14:paraId="3FD21F14" w14:textId="77777777" w:rsidTr="009E6F90">
        <w:tc>
          <w:tcPr>
            <w:tcW w:w="0" w:type="auto"/>
            <w:gridSpan w:val="2"/>
          </w:tcPr>
          <w:p w14:paraId="290855D9" w14:textId="77777777" w:rsidR="009E6F90" w:rsidRDefault="00000000" w:rsidP="00485DF9">
            <w:hyperlink r:id="rId7">
              <w:r w:rsidR="009E6F90" w:rsidRPr="009E6F90">
                <w:rPr>
                  <w:rStyle w:val="Hyperlink"/>
                </w:rPr>
                <w:t>ECCO-IBUS intestinal ultrasound research grant</w:t>
              </w:r>
            </w:hyperlink>
          </w:p>
        </w:tc>
      </w:tr>
      <w:tr w:rsidR="009E6F90" w14:paraId="471E91E8" w14:textId="77777777" w:rsidTr="00485DF9">
        <w:tc>
          <w:tcPr>
            <w:tcW w:w="0" w:type="auto"/>
          </w:tcPr>
          <w:p w14:paraId="7AFF1369" w14:textId="77777777" w:rsidR="009E6F90" w:rsidRDefault="009E6F90" w:rsidP="00485DF9">
            <w:r>
              <w:t>Funder</w:t>
            </w:r>
          </w:p>
        </w:tc>
        <w:tc>
          <w:tcPr>
            <w:tcW w:w="0" w:type="auto"/>
          </w:tcPr>
          <w:p w14:paraId="2698987C" w14:textId="77777777" w:rsidR="009E6F90" w:rsidRDefault="00000000" w:rsidP="00485DF9">
            <w:hyperlink r:id="rId8">
              <w:r w:rsidR="009E6F90">
                <w:rPr>
                  <w:color w:val="000080"/>
                  <w:u w:val="single"/>
                </w:rPr>
                <w:t>European Crohn's and Colitis Organisation</w:t>
              </w:r>
            </w:hyperlink>
          </w:p>
        </w:tc>
      </w:tr>
      <w:tr w:rsidR="009E6F90" w14:paraId="632A8C8E" w14:textId="77777777" w:rsidTr="00485DF9">
        <w:tc>
          <w:tcPr>
            <w:tcW w:w="0" w:type="auto"/>
          </w:tcPr>
          <w:p w14:paraId="7AD04858"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108"/>
              <w:gridCol w:w="2592"/>
              <w:gridCol w:w="970"/>
            </w:tblGrid>
            <w:tr w:rsidR="009E6F90" w14:paraId="0702653F" w14:textId="77777777" w:rsidTr="00485DF9">
              <w:tc>
                <w:tcPr>
                  <w:tcW w:w="0" w:type="auto"/>
                </w:tcPr>
                <w:p w14:paraId="23745AB8" w14:textId="77777777" w:rsidR="009E6F90" w:rsidRDefault="009E6F90" w:rsidP="00485DF9">
                  <w:r>
                    <w:rPr>
                      <w:b/>
                    </w:rPr>
                    <w:t>Date</w:t>
                  </w:r>
                </w:p>
              </w:tc>
              <w:tc>
                <w:tcPr>
                  <w:tcW w:w="0" w:type="auto"/>
                </w:tcPr>
                <w:p w14:paraId="41C91D56" w14:textId="77777777" w:rsidR="009E6F90" w:rsidRDefault="009E6F90" w:rsidP="00485DF9">
                  <w:r>
                    <w:rPr>
                      <w:b/>
                    </w:rPr>
                    <w:t>What's due</w:t>
                  </w:r>
                </w:p>
              </w:tc>
              <w:tc>
                <w:tcPr>
                  <w:tcW w:w="0" w:type="auto"/>
                </w:tcPr>
                <w:p w14:paraId="5B773393" w14:textId="77777777" w:rsidR="009E6F90" w:rsidRDefault="009E6F90" w:rsidP="00485DF9">
                  <w:r>
                    <w:rPr>
                      <w:b/>
                    </w:rPr>
                    <w:t>Notes</w:t>
                  </w:r>
                </w:p>
              </w:tc>
            </w:tr>
            <w:tr w:rsidR="009E6F90" w14:paraId="3EDACB8F" w14:textId="77777777" w:rsidTr="00485DF9">
              <w:tc>
                <w:tcPr>
                  <w:tcW w:w="0" w:type="auto"/>
                </w:tcPr>
                <w:p w14:paraId="01F2E95F" w14:textId="77777777" w:rsidR="009E6F90" w:rsidRDefault="009E6F90" w:rsidP="00485DF9">
                  <w:r>
                    <w:t>31 Oct 2023 - Anticipated / sponsor</w:t>
                  </w:r>
                </w:p>
              </w:tc>
              <w:tc>
                <w:tcPr>
                  <w:tcW w:w="0" w:type="auto"/>
                </w:tcPr>
                <w:p w14:paraId="5EEF9FED" w14:textId="77777777" w:rsidR="009E6F90" w:rsidRDefault="009E6F90" w:rsidP="00485DF9">
                  <w:r>
                    <w:t>Application - required</w:t>
                  </w:r>
                </w:p>
              </w:tc>
              <w:tc>
                <w:tcPr>
                  <w:tcW w:w="0" w:type="auto"/>
                </w:tcPr>
                <w:p w14:paraId="29D72CB4" w14:textId="77777777" w:rsidR="009E6F90" w:rsidRDefault="009E6F90" w:rsidP="00485DF9"/>
              </w:tc>
            </w:tr>
          </w:tbl>
          <w:p w14:paraId="6AC00271" w14:textId="77777777" w:rsidR="009E6F90" w:rsidRDefault="009E6F90" w:rsidP="00485DF9"/>
        </w:tc>
      </w:tr>
      <w:tr w:rsidR="009E6F90" w14:paraId="36452D2E" w14:textId="77777777" w:rsidTr="00485DF9">
        <w:tc>
          <w:tcPr>
            <w:tcW w:w="0" w:type="auto"/>
          </w:tcPr>
          <w:p w14:paraId="725F05D0" w14:textId="77777777" w:rsidR="009E6F90" w:rsidRDefault="009E6F90" w:rsidP="00485DF9">
            <w:r>
              <w:t>Amount</w:t>
            </w:r>
          </w:p>
        </w:tc>
        <w:tc>
          <w:tcPr>
            <w:tcW w:w="0" w:type="auto"/>
          </w:tcPr>
          <w:p w14:paraId="426F01C9" w14:textId="77777777" w:rsidR="009E6F90" w:rsidRDefault="009E6F90" w:rsidP="00485DF9">
            <w:r>
              <w:rPr>
                <w:b/>
              </w:rPr>
              <w:t>Upper: €20,000 EUR</w:t>
            </w:r>
            <w:r>
              <w:rPr>
                <w:b/>
              </w:rPr>
              <w:tab/>
              <w:t>Lower: €20,000 EUR</w:t>
            </w:r>
          </w:p>
          <w:p w14:paraId="37A4545C" w14:textId="77777777" w:rsidR="009E6F90" w:rsidRDefault="009E6F90" w:rsidP="00485DF9">
            <w:r>
              <w:t>A clinical research fund of 20,000 EUR will be awarded to the successful investigator for one year.</w:t>
            </w:r>
          </w:p>
        </w:tc>
      </w:tr>
      <w:tr w:rsidR="009E6F90" w14:paraId="70F917ED" w14:textId="77777777" w:rsidTr="00485DF9">
        <w:tc>
          <w:tcPr>
            <w:tcW w:w="0" w:type="auto"/>
          </w:tcPr>
          <w:p w14:paraId="16E31CCC" w14:textId="77777777" w:rsidR="009E6F90" w:rsidRDefault="009E6F90" w:rsidP="00485DF9">
            <w:r>
              <w:t>Eligibility</w:t>
            </w:r>
          </w:p>
        </w:tc>
        <w:tc>
          <w:tcPr>
            <w:tcW w:w="0" w:type="auto"/>
          </w:tcPr>
          <w:p w14:paraId="21D484D8" w14:textId="77777777" w:rsidR="009E6F90" w:rsidRDefault="009E6F90" w:rsidP="00485DF9">
            <w:r>
              <w:t>Applicants must be members of IBUS at the time of application and should be established within clinical units with expertise in inflammatory bowel disease, with established expertise in the performance of intestinal ultrasound and routine access to an ultrasound machine.</w:t>
            </w:r>
          </w:p>
        </w:tc>
      </w:tr>
      <w:tr w:rsidR="009E6F90" w14:paraId="6DB659BB" w14:textId="77777777" w:rsidTr="00485DF9">
        <w:tc>
          <w:tcPr>
            <w:tcW w:w="0" w:type="auto"/>
          </w:tcPr>
          <w:p w14:paraId="1F17C78D" w14:textId="77777777" w:rsidR="009E6F90" w:rsidRDefault="009E6F90" w:rsidP="00485DF9">
            <w:r>
              <w:t>Abstract</w:t>
            </w:r>
          </w:p>
        </w:tc>
        <w:tc>
          <w:tcPr>
            <w:tcW w:w="0" w:type="auto"/>
          </w:tcPr>
          <w:p w14:paraId="6E4F27CA" w14:textId="77777777" w:rsidR="009E6F90" w:rsidRDefault="009E6F90" w:rsidP="00485DF9">
            <w:r>
              <w:t xml:space="preserve">The European Crohn's and Colitis Organisation, in collaboration with the International Bowel Ultrasound Group, invites applications for its intestinal ultrasound research grant. This supports research into the utility of intestinal ultrasounds used in the assessment of patients with inflammatory bowel disease. </w:t>
            </w:r>
            <w:r>
              <w:br/>
            </w:r>
            <w:r>
              <w:br/>
              <w:t>Applicants must be members of IBUS at the time of application and should be established within clinical units with expertise in inflammatory bowel disease, with established expertise in the performance of intestinal ultrasound and routine access to an ultrasound machine.</w:t>
            </w:r>
            <w:r>
              <w:br/>
            </w:r>
            <w:r>
              <w:br/>
              <w:t>The grant is worth €20,000.</w:t>
            </w:r>
          </w:p>
        </w:tc>
      </w:tr>
      <w:tr w:rsidR="009E6F90" w14:paraId="44F8C457" w14:textId="77777777" w:rsidTr="00485DF9">
        <w:tc>
          <w:tcPr>
            <w:tcW w:w="0" w:type="auto"/>
          </w:tcPr>
          <w:p w14:paraId="079D43C3" w14:textId="77777777" w:rsidR="009E6F90" w:rsidRDefault="009E6F90" w:rsidP="00485DF9">
            <w:r>
              <w:t>Website</w:t>
            </w:r>
          </w:p>
        </w:tc>
        <w:tc>
          <w:tcPr>
            <w:tcW w:w="0" w:type="auto"/>
          </w:tcPr>
          <w:p w14:paraId="5E5F5AC9" w14:textId="77777777" w:rsidR="009E6F90" w:rsidRDefault="00000000" w:rsidP="00485DF9">
            <w:pPr>
              <w:rPr>
                <w:color w:val="000080"/>
                <w:u w:val="single"/>
              </w:rPr>
            </w:pPr>
            <w:hyperlink r:id="rId9">
              <w:r w:rsidR="009E6F90">
                <w:rPr>
                  <w:color w:val="000080"/>
                  <w:u w:val="single"/>
                </w:rPr>
                <w:t>https://www.ecco-ibd.eu/science/fellowships-and-grants.html</w:t>
              </w:r>
            </w:hyperlink>
          </w:p>
          <w:p w14:paraId="03C353BB" w14:textId="77777777" w:rsidR="009E6F90" w:rsidRDefault="009E6F90" w:rsidP="00485DF9">
            <w:pPr>
              <w:rPr>
                <w:color w:val="000080"/>
                <w:u w:val="single"/>
              </w:rPr>
            </w:pPr>
          </w:p>
          <w:p w14:paraId="373D47D0" w14:textId="77777777" w:rsidR="009E6F90" w:rsidRDefault="009E6F90" w:rsidP="00485DF9"/>
        </w:tc>
      </w:tr>
      <w:tr w:rsidR="009E6F90" w14:paraId="30EF031E" w14:textId="77777777" w:rsidTr="00485DF9">
        <w:tc>
          <w:tcPr>
            <w:tcW w:w="0" w:type="auto"/>
            <w:gridSpan w:val="2"/>
          </w:tcPr>
          <w:p w14:paraId="1357F8C3" w14:textId="77777777" w:rsidR="009E6F90" w:rsidRDefault="00000000" w:rsidP="00485DF9">
            <w:hyperlink r:id="rId10">
              <w:r w:rsidR="009E6F90">
                <w:rPr>
                  <w:color w:val="000080"/>
                  <w:sz w:val="22"/>
                  <w:u w:val="single"/>
                </w:rPr>
                <w:t>Seed Grants</w:t>
              </w:r>
            </w:hyperlink>
          </w:p>
        </w:tc>
      </w:tr>
      <w:tr w:rsidR="009E6F90" w14:paraId="2C3595F0" w14:textId="77777777" w:rsidTr="00485DF9">
        <w:tc>
          <w:tcPr>
            <w:tcW w:w="0" w:type="auto"/>
          </w:tcPr>
          <w:p w14:paraId="5C576B2A" w14:textId="77777777" w:rsidR="009E6F90" w:rsidRDefault="009E6F90" w:rsidP="00485DF9">
            <w:r>
              <w:t>Funder</w:t>
            </w:r>
          </w:p>
        </w:tc>
        <w:tc>
          <w:tcPr>
            <w:tcW w:w="0" w:type="auto"/>
          </w:tcPr>
          <w:p w14:paraId="20B71F39" w14:textId="77777777" w:rsidR="009E6F90" w:rsidRDefault="00000000" w:rsidP="00485DF9">
            <w:hyperlink r:id="rId11">
              <w:r w:rsidR="009E6F90">
                <w:rPr>
                  <w:color w:val="000080"/>
                  <w:u w:val="single"/>
                </w:rPr>
                <w:t>American Epilepsy Society (AES)</w:t>
              </w:r>
            </w:hyperlink>
          </w:p>
        </w:tc>
      </w:tr>
      <w:tr w:rsidR="009E6F90" w14:paraId="0C264908" w14:textId="77777777" w:rsidTr="00485DF9">
        <w:tc>
          <w:tcPr>
            <w:tcW w:w="0" w:type="auto"/>
          </w:tcPr>
          <w:p w14:paraId="1EC5F5ED"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995"/>
              <w:gridCol w:w="2735"/>
              <w:gridCol w:w="940"/>
            </w:tblGrid>
            <w:tr w:rsidR="009E6F90" w14:paraId="295B769A" w14:textId="77777777" w:rsidTr="00485DF9">
              <w:tc>
                <w:tcPr>
                  <w:tcW w:w="0" w:type="auto"/>
                </w:tcPr>
                <w:p w14:paraId="2B78417E" w14:textId="77777777" w:rsidR="009E6F90" w:rsidRDefault="009E6F90" w:rsidP="00485DF9">
                  <w:r>
                    <w:rPr>
                      <w:b/>
                    </w:rPr>
                    <w:t>Date</w:t>
                  </w:r>
                </w:p>
              </w:tc>
              <w:tc>
                <w:tcPr>
                  <w:tcW w:w="0" w:type="auto"/>
                </w:tcPr>
                <w:p w14:paraId="3F7541AF" w14:textId="77777777" w:rsidR="009E6F90" w:rsidRDefault="009E6F90" w:rsidP="00485DF9">
                  <w:r>
                    <w:rPr>
                      <w:b/>
                    </w:rPr>
                    <w:t>What's due</w:t>
                  </w:r>
                </w:p>
              </w:tc>
              <w:tc>
                <w:tcPr>
                  <w:tcW w:w="0" w:type="auto"/>
                </w:tcPr>
                <w:p w14:paraId="1065B849" w14:textId="77777777" w:rsidR="009E6F90" w:rsidRDefault="009E6F90" w:rsidP="00485DF9">
                  <w:r>
                    <w:rPr>
                      <w:b/>
                    </w:rPr>
                    <w:t>Notes</w:t>
                  </w:r>
                </w:p>
              </w:tc>
            </w:tr>
            <w:tr w:rsidR="009E6F90" w14:paraId="3D0B9050" w14:textId="77777777" w:rsidTr="00485DF9">
              <w:tc>
                <w:tcPr>
                  <w:tcW w:w="0" w:type="auto"/>
                </w:tcPr>
                <w:p w14:paraId="34E1C09F" w14:textId="77777777" w:rsidR="009E6F90" w:rsidRDefault="009E6F90" w:rsidP="00485DF9">
                  <w:r>
                    <w:t>11 Jan 2024 - Anticipated / sponsor</w:t>
                  </w:r>
                </w:p>
              </w:tc>
              <w:tc>
                <w:tcPr>
                  <w:tcW w:w="0" w:type="auto"/>
                </w:tcPr>
                <w:p w14:paraId="53A762F6" w14:textId="77777777" w:rsidR="009E6F90" w:rsidRDefault="009E6F90" w:rsidP="00485DF9">
                  <w:r>
                    <w:t>Full Proposal - required</w:t>
                  </w:r>
                </w:p>
              </w:tc>
              <w:tc>
                <w:tcPr>
                  <w:tcW w:w="0" w:type="auto"/>
                </w:tcPr>
                <w:p w14:paraId="578C50FB" w14:textId="77777777" w:rsidR="009E6F90" w:rsidRDefault="009E6F90" w:rsidP="00485DF9"/>
              </w:tc>
            </w:tr>
          </w:tbl>
          <w:p w14:paraId="7FAC32D0" w14:textId="77777777" w:rsidR="009E6F90" w:rsidRDefault="009E6F90" w:rsidP="00485DF9"/>
        </w:tc>
      </w:tr>
      <w:tr w:rsidR="009E6F90" w14:paraId="24132FDA" w14:textId="77777777" w:rsidTr="00485DF9">
        <w:tc>
          <w:tcPr>
            <w:tcW w:w="0" w:type="auto"/>
          </w:tcPr>
          <w:p w14:paraId="33CC67F0" w14:textId="77777777" w:rsidR="009E6F90" w:rsidRDefault="009E6F90" w:rsidP="00485DF9">
            <w:r>
              <w:t>Deadline Note</w:t>
            </w:r>
          </w:p>
        </w:tc>
        <w:tc>
          <w:tcPr>
            <w:tcW w:w="0" w:type="auto"/>
          </w:tcPr>
          <w:p w14:paraId="43BC2639" w14:textId="77777777" w:rsidR="009E6F90" w:rsidRDefault="009E6F90" w:rsidP="00485DF9">
            <w:r>
              <w:t>Opens in September.</w:t>
            </w:r>
          </w:p>
        </w:tc>
      </w:tr>
      <w:tr w:rsidR="009E6F90" w14:paraId="16389DB7" w14:textId="77777777" w:rsidTr="00485DF9">
        <w:tc>
          <w:tcPr>
            <w:tcW w:w="0" w:type="auto"/>
          </w:tcPr>
          <w:p w14:paraId="0F1F7B31" w14:textId="77777777" w:rsidR="009E6F90" w:rsidRDefault="009E6F90" w:rsidP="00485DF9">
            <w:r>
              <w:t>Amount</w:t>
            </w:r>
          </w:p>
        </w:tc>
        <w:tc>
          <w:tcPr>
            <w:tcW w:w="0" w:type="auto"/>
          </w:tcPr>
          <w:p w14:paraId="45C5B4BB" w14:textId="77777777" w:rsidR="009E6F90" w:rsidRDefault="009E6F90" w:rsidP="00485DF9">
            <w:r>
              <w:rPr>
                <w:b/>
              </w:rPr>
              <w:t>Upper: $20,000 USD</w:t>
            </w:r>
          </w:p>
          <w:p w14:paraId="4CB35109" w14:textId="77777777" w:rsidR="009E6F90" w:rsidRDefault="009E6F90" w:rsidP="00485DF9">
            <w:r>
              <w:t>Seed grants may provide up to $20,000 for one year for direct costs only. They may not be renewed.</w:t>
            </w:r>
          </w:p>
        </w:tc>
      </w:tr>
      <w:tr w:rsidR="009E6F90" w14:paraId="5FE835A8" w14:textId="77777777" w:rsidTr="00485DF9">
        <w:tc>
          <w:tcPr>
            <w:tcW w:w="0" w:type="auto"/>
          </w:tcPr>
          <w:p w14:paraId="150727FC" w14:textId="77777777" w:rsidR="009E6F90" w:rsidRDefault="009E6F90" w:rsidP="00485DF9">
            <w:r>
              <w:t>Eligibility</w:t>
            </w:r>
          </w:p>
        </w:tc>
        <w:tc>
          <w:tcPr>
            <w:tcW w:w="0" w:type="auto"/>
          </w:tcPr>
          <w:p w14:paraId="4E95B25B" w14:textId="77777777" w:rsidR="009E6F90" w:rsidRDefault="009E6F90" w:rsidP="00485DF9">
            <w:r>
              <w:t>Applications may come from individual investigators or from two or more collaborating investigators. The primary investigator (PI) or at least one of the primary investigators in a multiple-PI seed grant must be: 1) an AES member; 2) an established investigator with at least an Associate Professor or equivalent level appointment; and 3) an epilepsy focused academic investigator. An assistant professor(s) may serve as a collaborator or Co-PI on the project provided that the application is submitted by the established professor and the award is contracted at least in part for use by the established professor.</w:t>
            </w:r>
          </w:p>
        </w:tc>
      </w:tr>
      <w:tr w:rsidR="009E6F90" w14:paraId="75656609" w14:textId="77777777" w:rsidTr="00485DF9">
        <w:tc>
          <w:tcPr>
            <w:tcW w:w="0" w:type="auto"/>
          </w:tcPr>
          <w:p w14:paraId="6A5F5DBF" w14:textId="77777777" w:rsidR="009E6F90" w:rsidRDefault="009E6F90" w:rsidP="00485DF9">
            <w:r>
              <w:lastRenderedPageBreak/>
              <w:t>Abstract</w:t>
            </w:r>
          </w:p>
        </w:tc>
        <w:tc>
          <w:tcPr>
            <w:tcW w:w="0" w:type="auto"/>
          </w:tcPr>
          <w:p w14:paraId="679C61EB" w14:textId="77777777" w:rsidR="009E6F90" w:rsidRDefault="009E6F90" w:rsidP="00485DF9">
            <w:r>
              <w:t>AES Seed Grants offer funds to help enable established investigators to pursue new and innovative lines of research, collaborations, and/or research methods.</w:t>
            </w:r>
            <w:r>
              <w:br/>
            </w:r>
            <w:r>
              <w:br/>
            </w:r>
            <w:r>
              <w:rPr>
                <w:b/>
              </w:rPr>
              <w:t>What types of research are competitive?</w:t>
            </w:r>
            <w:r>
              <w:br/>
              <w:t xml:space="preserve"> Specific fields of research are competitive for funding from our partners, some of whom have offered to fund a grant in full. If a proposal aligns with the priorities of a partner who will fund in full, some eligibility requirements may be </w:t>
            </w:r>
            <w:proofErr w:type="gramStart"/>
            <w:r>
              <w:t>waived</w:t>
            </w:r>
            <w:proofErr w:type="gramEnd"/>
            <w:r>
              <w:t xml:space="preserve"> and the proposals will compete for a separate pool of funding.</w:t>
            </w:r>
          </w:p>
        </w:tc>
      </w:tr>
      <w:tr w:rsidR="009E6F90" w14:paraId="5D8F9322" w14:textId="77777777" w:rsidTr="00485DF9">
        <w:tc>
          <w:tcPr>
            <w:tcW w:w="0" w:type="auto"/>
          </w:tcPr>
          <w:p w14:paraId="4E08562A" w14:textId="77777777" w:rsidR="009E6F90" w:rsidRDefault="009E6F90" w:rsidP="00485DF9">
            <w:r>
              <w:t>Website</w:t>
            </w:r>
          </w:p>
        </w:tc>
        <w:tc>
          <w:tcPr>
            <w:tcW w:w="0" w:type="auto"/>
          </w:tcPr>
          <w:p w14:paraId="30DE5C81" w14:textId="77777777" w:rsidR="009E6F90" w:rsidRDefault="00000000" w:rsidP="00485DF9">
            <w:hyperlink r:id="rId12">
              <w:r w:rsidR="009E6F90">
                <w:rPr>
                  <w:color w:val="000080"/>
                  <w:u w:val="single"/>
                </w:rPr>
                <w:t>https://cms.aesnet.org/research-funding/funding/established/seed-grants</w:t>
              </w:r>
            </w:hyperlink>
          </w:p>
        </w:tc>
      </w:tr>
    </w:tbl>
    <w:p w14:paraId="3EB696F0" w14:textId="77777777" w:rsidR="00C02806" w:rsidRDefault="00C02806"/>
    <w:tbl>
      <w:tblPr>
        <w:tblW w:w="5000" w:type="pct"/>
        <w:tblCellMar>
          <w:top w:w="108" w:type="dxa"/>
        </w:tblCellMar>
        <w:tblLook w:val="0600" w:firstRow="0" w:lastRow="0" w:firstColumn="0" w:lastColumn="0" w:noHBand="1" w:noVBand="1"/>
      </w:tblPr>
      <w:tblGrid>
        <w:gridCol w:w="1119"/>
        <w:gridCol w:w="7907"/>
      </w:tblGrid>
      <w:tr w:rsidR="009E6F90" w14:paraId="1B0E4D69" w14:textId="77777777" w:rsidTr="00485DF9">
        <w:tc>
          <w:tcPr>
            <w:tcW w:w="0" w:type="auto"/>
            <w:gridSpan w:val="2"/>
          </w:tcPr>
          <w:p w14:paraId="01725AB4" w14:textId="77777777" w:rsidR="009E6F90" w:rsidRDefault="00000000" w:rsidP="00485DF9">
            <w:hyperlink r:id="rId13">
              <w:r w:rsidR="009E6F90">
                <w:rPr>
                  <w:color w:val="000080"/>
                  <w:sz w:val="22"/>
                  <w:u w:val="single"/>
                </w:rPr>
                <w:t>Notice of Special Interest (NOSI): The Influence of Host Resilience on Heterogeneity of Acute Respiratory Distress Syndrome/Acute Lung Injury (ARDS/ALI)</w:t>
              </w:r>
            </w:hyperlink>
          </w:p>
        </w:tc>
      </w:tr>
      <w:tr w:rsidR="009E6F90" w14:paraId="479C89EA" w14:textId="77777777" w:rsidTr="00485DF9">
        <w:tc>
          <w:tcPr>
            <w:tcW w:w="0" w:type="auto"/>
          </w:tcPr>
          <w:p w14:paraId="0EBC7A75" w14:textId="77777777" w:rsidR="009E6F90" w:rsidRDefault="009E6F90" w:rsidP="00485DF9">
            <w:r>
              <w:t>Funder</w:t>
            </w:r>
          </w:p>
        </w:tc>
        <w:tc>
          <w:tcPr>
            <w:tcW w:w="0" w:type="auto"/>
          </w:tcPr>
          <w:p w14:paraId="6FB29A27" w14:textId="77777777" w:rsidR="009E6F90" w:rsidRDefault="00000000" w:rsidP="00485DF9">
            <w:hyperlink r:id="rId14">
              <w:r w:rsidR="009E6F90">
                <w:rPr>
                  <w:color w:val="000080"/>
                  <w:u w:val="single"/>
                </w:rPr>
                <w:t>National Heart, Lung, and Blood Institute (NHLBI)</w:t>
              </w:r>
            </w:hyperlink>
          </w:p>
          <w:p w14:paraId="31D0C2D7" w14:textId="77777777" w:rsidR="009E6F90" w:rsidRDefault="00000000" w:rsidP="00485DF9">
            <w:hyperlink r:id="rId15">
              <w:r w:rsidR="009E6F90">
                <w:rPr>
                  <w:color w:val="000080"/>
                  <w:u w:val="single"/>
                </w:rPr>
                <w:t>National Institutes of Health (NIH)</w:t>
              </w:r>
            </w:hyperlink>
          </w:p>
          <w:p w14:paraId="30CF8D4B" w14:textId="77777777" w:rsidR="009E6F90" w:rsidRDefault="00000000" w:rsidP="00485DF9">
            <w:hyperlink r:id="rId16">
              <w:r w:rsidR="009E6F90">
                <w:rPr>
                  <w:color w:val="000080"/>
                  <w:u w:val="single"/>
                </w:rPr>
                <w:t>United States Department of Health and Human Services (HHS)</w:t>
              </w:r>
            </w:hyperlink>
          </w:p>
          <w:p w14:paraId="256C5243" w14:textId="77777777" w:rsidR="009E6F90" w:rsidRDefault="009E6F90" w:rsidP="00485DF9">
            <w:r>
              <w:t>Funder's opportunity ID: NOT-HL-20-814</w:t>
            </w:r>
          </w:p>
        </w:tc>
      </w:tr>
      <w:tr w:rsidR="009E6F90" w14:paraId="0C3FCC72" w14:textId="77777777" w:rsidTr="00485DF9">
        <w:tc>
          <w:tcPr>
            <w:tcW w:w="0" w:type="auto"/>
          </w:tcPr>
          <w:p w14:paraId="5B63AAFA"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041"/>
              <w:gridCol w:w="2645"/>
              <w:gridCol w:w="989"/>
            </w:tblGrid>
            <w:tr w:rsidR="009E6F90" w14:paraId="69407EDF" w14:textId="77777777" w:rsidTr="00485DF9">
              <w:tc>
                <w:tcPr>
                  <w:tcW w:w="0" w:type="auto"/>
                </w:tcPr>
                <w:p w14:paraId="19A311EA" w14:textId="77777777" w:rsidR="009E6F90" w:rsidRDefault="009E6F90" w:rsidP="00485DF9">
                  <w:r>
                    <w:rPr>
                      <w:b/>
                    </w:rPr>
                    <w:t>Date</w:t>
                  </w:r>
                </w:p>
              </w:tc>
              <w:tc>
                <w:tcPr>
                  <w:tcW w:w="0" w:type="auto"/>
                </w:tcPr>
                <w:p w14:paraId="1FF2F05D" w14:textId="77777777" w:rsidR="009E6F90" w:rsidRDefault="009E6F90" w:rsidP="00485DF9">
                  <w:r>
                    <w:rPr>
                      <w:b/>
                    </w:rPr>
                    <w:t>What's due</w:t>
                  </w:r>
                </w:p>
              </w:tc>
              <w:tc>
                <w:tcPr>
                  <w:tcW w:w="0" w:type="auto"/>
                </w:tcPr>
                <w:p w14:paraId="45FBD5A9" w14:textId="77777777" w:rsidR="009E6F90" w:rsidRDefault="009E6F90" w:rsidP="00485DF9">
                  <w:r>
                    <w:rPr>
                      <w:b/>
                    </w:rPr>
                    <w:t>Notes</w:t>
                  </w:r>
                </w:p>
              </w:tc>
            </w:tr>
            <w:tr w:rsidR="009E6F90" w14:paraId="3DF61B0A" w14:textId="77777777" w:rsidTr="00485DF9">
              <w:tc>
                <w:tcPr>
                  <w:tcW w:w="0" w:type="auto"/>
                </w:tcPr>
                <w:p w14:paraId="6A501FFA" w14:textId="77777777" w:rsidR="009E6F90" w:rsidRDefault="009E6F90" w:rsidP="00485DF9">
                  <w:r>
                    <w:t>05 Jul 2024 - Confirmed / sponsor</w:t>
                  </w:r>
                </w:p>
              </w:tc>
              <w:tc>
                <w:tcPr>
                  <w:tcW w:w="0" w:type="auto"/>
                </w:tcPr>
                <w:p w14:paraId="1EE7BA66" w14:textId="77777777" w:rsidR="009E6F90" w:rsidRDefault="009E6F90" w:rsidP="00485DF9">
                  <w:r>
                    <w:t>Application - required</w:t>
                  </w:r>
                </w:p>
              </w:tc>
              <w:tc>
                <w:tcPr>
                  <w:tcW w:w="0" w:type="auto"/>
                </w:tcPr>
                <w:p w14:paraId="3AE6A935" w14:textId="77777777" w:rsidR="009E6F90" w:rsidRDefault="009E6F90" w:rsidP="00485DF9"/>
              </w:tc>
            </w:tr>
          </w:tbl>
          <w:p w14:paraId="25781EBC" w14:textId="77777777" w:rsidR="009E6F90" w:rsidRDefault="009E6F90" w:rsidP="00485DF9"/>
        </w:tc>
      </w:tr>
      <w:tr w:rsidR="009E6F90" w14:paraId="55A8AA83" w14:textId="77777777" w:rsidTr="00485DF9">
        <w:tc>
          <w:tcPr>
            <w:tcW w:w="0" w:type="auto"/>
          </w:tcPr>
          <w:p w14:paraId="0692E318" w14:textId="77777777" w:rsidR="009E6F90" w:rsidRDefault="009E6F90" w:rsidP="00485DF9">
            <w:r>
              <w:t>Deadline Note</w:t>
            </w:r>
          </w:p>
        </w:tc>
        <w:tc>
          <w:tcPr>
            <w:tcW w:w="0" w:type="auto"/>
          </w:tcPr>
          <w:p w14:paraId="4C1ED39A" w14:textId="77777777" w:rsidR="009E6F90" w:rsidRDefault="009E6F90" w:rsidP="00485DF9">
            <w:r>
              <w:t xml:space="preserve">Submit applications for this initiative using one of the following funding opportunity announcements (FOAs) or any reissues of these announcements through the expiration date of this notice. This notice applies to due dates on or after October 5, </w:t>
            </w:r>
            <w:proofErr w:type="gramStart"/>
            <w:r>
              <w:t>2020</w:t>
            </w:r>
            <w:proofErr w:type="gramEnd"/>
            <w:r>
              <w:t xml:space="preserve"> and subsequent receipt dates through July 5, 2024 of reissued FOAs.</w:t>
            </w:r>
            <w:r>
              <w:br/>
            </w:r>
            <w:r>
              <w:br/>
              <w:t>PA-20-183</w:t>
            </w:r>
            <w:r>
              <w:br/>
              <w:t>PA-20-185</w:t>
            </w:r>
          </w:p>
        </w:tc>
      </w:tr>
      <w:tr w:rsidR="009E6F90" w14:paraId="00D30655" w14:textId="77777777" w:rsidTr="00485DF9">
        <w:tc>
          <w:tcPr>
            <w:tcW w:w="0" w:type="auto"/>
          </w:tcPr>
          <w:p w14:paraId="42A24F30" w14:textId="77777777" w:rsidR="009E6F90" w:rsidRDefault="009E6F90" w:rsidP="00485DF9">
            <w:r>
              <w:t>Abstract</w:t>
            </w:r>
          </w:p>
        </w:tc>
        <w:tc>
          <w:tcPr>
            <w:tcW w:w="0" w:type="auto"/>
          </w:tcPr>
          <w:p w14:paraId="67C4B7FB" w14:textId="77777777" w:rsidR="009E6F90" w:rsidRDefault="009E6F90" w:rsidP="00485DF9">
            <w:r>
              <w:t>The purpose of this Notice of Special Interest (NOSI) is to inform potential applicants of the special interest of NHLBI in research to understand host resilience as a critical determinant of outcomes in acute respiratory distress syndrome (ARDS) /acute lung injury (ALI).</w:t>
            </w:r>
            <w:r>
              <w:br/>
            </w:r>
            <w:r>
              <w:br/>
              <w:t>This NOSI seeks to support investigation into the factors and molecular mechanisms that address the heterogeneity dictated by the host resilience. Research on general host responses to injurious challenges and their effects on lung function as well as mechanisms that impact susceptibility to ARDS is not considered to be responsive to this announcement.</w:t>
            </w:r>
            <w:r>
              <w:br/>
            </w:r>
            <w:r>
              <w:br/>
              <w:t>This NOSI encourages, but is not limited to, research applications in the following areas:</w:t>
            </w:r>
            <w:r>
              <w:br/>
            </w:r>
            <w:r>
              <w:br/>
              <w:t>- What are the host resilience factors (e.g., epigenetics, preexisting structural lung/heart/vascular or immune deficiencies, the severity of the lung inflammatory response) that influence resolution and recovery from ARDS/ALI?</w:t>
            </w:r>
            <w:r>
              <w:br/>
              <w:t>- What are the reparative or regenerative mechanisms that contribute to the resolution of lung injury and a return to a healthy host state?</w:t>
            </w:r>
            <w:r>
              <w:br/>
              <w:t>- What are the underlying host-response mechanisms that contribute to the disparity of resilience to ARDS/ALI in different race/ethnic groups and different age populations?</w:t>
            </w:r>
            <w:r>
              <w:br/>
              <w:t>- What are the underlying host-response mechanisms that determine the outcomes in patients with COVID-19 related ARDS?</w:t>
            </w:r>
            <w:r>
              <w:br/>
              <w:t>- What is the molecular mechanism underpinning the effect of metabolic changes and lifestyle on host resilience determining the resolution and recovery in ARDS?</w:t>
            </w:r>
            <w:r>
              <w:br/>
              <w:t>- Development of quantitative cell/organ/systems models and measures to identify resilience mechanisms involving inflammation resolution pathways in ARDS.</w:t>
            </w:r>
          </w:p>
        </w:tc>
      </w:tr>
      <w:tr w:rsidR="009E6F90" w14:paraId="681B9821" w14:textId="77777777" w:rsidTr="00485DF9">
        <w:tc>
          <w:tcPr>
            <w:tcW w:w="0" w:type="auto"/>
          </w:tcPr>
          <w:p w14:paraId="3AA69ECE" w14:textId="77777777" w:rsidR="009E6F90" w:rsidRDefault="009E6F90" w:rsidP="00485DF9">
            <w:r>
              <w:t>Website</w:t>
            </w:r>
          </w:p>
        </w:tc>
        <w:tc>
          <w:tcPr>
            <w:tcW w:w="0" w:type="auto"/>
          </w:tcPr>
          <w:p w14:paraId="1675E7D7" w14:textId="77777777" w:rsidR="009E6F90" w:rsidRDefault="00000000" w:rsidP="00485DF9">
            <w:pPr>
              <w:rPr>
                <w:color w:val="000080"/>
                <w:u w:val="single"/>
              </w:rPr>
            </w:pPr>
            <w:hyperlink r:id="rId17">
              <w:r w:rsidR="009E6F90">
                <w:rPr>
                  <w:color w:val="000080"/>
                  <w:u w:val="single"/>
                </w:rPr>
                <w:t>https://grants.nih.gov/grants/guide/notice-files/NOT-HL-20-814.html</w:t>
              </w:r>
            </w:hyperlink>
          </w:p>
          <w:p w14:paraId="252719F5" w14:textId="77777777" w:rsidR="009E6F90" w:rsidRDefault="009E6F90" w:rsidP="00485DF9"/>
        </w:tc>
      </w:tr>
      <w:tr w:rsidR="009E6F90" w14:paraId="1703D901" w14:textId="77777777" w:rsidTr="00485DF9">
        <w:tc>
          <w:tcPr>
            <w:tcW w:w="0" w:type="auto"/>
            <w:gridSpan w:val="2"/>
          </w:tcPr>
          <w:p w14:paraId="14302B8F" w14:textId="77777777" w:rsidR="009E6F90" w:rsidRDefault="00000000" w:rsidP="00485DF9">
            <w:hyperlink r:id="rId18">
              <w:r w:rsidR="009E6F90">
                <w:rPr>
                  <w:color w:val="000080"/>
                  <w:sz w:val="22"/>
                  <w:u w:val="single"/>
                </w:rPr>
                <w:t xml:space="preserve">Alzheimer’s Association </w:t>
              </w:r>
              <w:proofErr w:type="gramStart"/>
              <w:r w:rsidR="009E6F90">
                <w:rPr>
                  <w:color w:val="000080"/>
                  <w:sz w:val="22"/>
                  <w:u w:val="single"/>
                </w:rPr>
                <w:t>World Wide</w:t>
              </w:r>
              <w:proofErr w:type="gramEnd"/>
              <w:r w:rsidR="009E6F90">
                <w:rPr>
                  <w:color w:val="000080"/>
                  <w:sz w:val="22"/>
                  <w:u w:val="single"/>
                </w:rPr>
                <w:t xml:space="preserve"> FINGERS Network Funding Program (ALZ WW-FNFP)</w:t>
              </w:r>
            </w:hyperlink>
          </w:p>
        </w:tc>
      </w:tr>
      <w:tr w:rsidR="009E6F90" w14:paraId="2732E83D" w14:textId="77777777" w:rsidTr="00485DF9">
        <w:tc>
          <w:tcPr>
            <w:tcW w:w="0" w:type="auto"/>
          </w:tcPr>
          <w:p w14:paraId="09A8BCDB" w14:textId="77777777" w:rsidR="009E6F90" w:rsidRDefault="009E6F90" w:rsidP="00485DF9">
            <w:r>
              <w:t>Funder</w:t>
            </w:r>
          </w:p>
        </w:tc>
        <w:tc>
          <w:tcPr>
            <w:tcW w:w="0" w:type="auto"/>
          </w:tcPr>
          <w:p w14:paraId="2961C798" w14:textId="77777777" w:rsidR="009E6F90" w:rsidRDefault="00000000" w:rsidP="00485DF9">
            <w:hyperlink r:id="rId19">
              <w:r w:rsidR="009E6F90">
                <w:rPr>
                  <w:color w:val="000080"/>
                  <w:u w:val="single"/>
                </w:rPr>
                <w:t>Alzheimer's Association (ALZ)</w:t>
              </w:r>
            </w:hyperlink>
          </w:p>
        </w:tc>
      </w:tr>
      <w:tr w:rsidR="009E6F90" w14:paraId="3D362820" w14:textId="77777777" w:rsidTr="00485DF9">
        <w:tc>
          <w:tcPr>
            <w:tcW w:w="0" w:type="auto"/>
          </w:tcPr>
          <w:p w14:paraId="670433B7" w14:textId="77777777" w:rsidR="009E6F90" w:rsidRDefault="009E6F90" w:rsidP="00485DF9">
            <w:r>
              <w:t>Amount</w:t>
            </w:r>
          </w:p>
        </w:tc>
        <w:tc>
          <w:tcPr>
            <w:tcW w:w="0" w:type="auto"/>
          </w:tcPr>
          <w:p w14:paraId="2740DF3B" w14:textId="77777777" w:rsidR="009E6F90" w:rsidRDefault="009E6F90" w:rsidP="00485DF9">
            <w:r>
              <w:rPr>
                <w:b/>
              </w:rPr>
              <w:t>Upper: $1,000,000 USD</w:t>
            </w:r>
          </w:p>
          <w:p w14:paraId="7EC0958C" w14:textId="77777777" w:rsidR="009E6F90" w:rsidRDefault="009E6F90" w:rsidP="00485DF9">
            <w:r>
              <w:t>The maximum grant amount is up to $1,000,000 (USD) and the project duration is up to 3 years with no minimum timeframe. No indirect costs are allowed on this award.</w:t>
            </w:r>
          </w:p>
        </w:tc>
      </w:tr>
      <w:tr w:rsidR="009E6F90" w14:paraId="4256B88F" w14:textId="77777777" w:rsidTr="00485DF9">
        <w:tc>
          <w:tcPr>
            <w:tcW w:w="0" w:type="auto"/>
          </w:tcPr>
          <w:p w14:paraId="61AE2EA9" w14:textId="77777777" w:rsidR="009E6F90" w:rsidRDefault="009E6F90" w:rsidP="00485DF9">
            <w:r>
              <w:t>Eligibility</w:t>
            </w:r>
          </w:p>
        </w:tc>
        <w:tc>
          <w:tcPr>
            <w:tcW w:w="0" w:type="auto"/>
          </w:tcPr>
          <w:p w14:paraId="7240FDD5" w14:textId="77777777" w:rsidR="009E6F90" w:rsidRDefault="009E6F90" w:rsidP="00485DF9">
            <w:r>
              <w:t>The ALZ WW-FNFP is open to both U.S. and international researchers in the WW-FINGERS Network, .</w:t>
            </w:r>
          </w:p>
        </w:tc>
      </w:tr>
      <w:tr w:rsidR="009E6F90" w14:paraId="478C0891" w14:textId="77777777" w:rsidTr="00485DF9">
        <w:tc>
          <w:tcPr>
            <w:tcW w:w="0" w:type="auto"/>
          </w:tcPr>
          <w:p w14:paraId="13F31A3F" w14:textId="77777777" w:rsidR="009E6F90" w:rsidRDefault="009E6F90" w:rsidP="00485DF9">
            <w:r>
              <w:lastRenderedPageBreak/>
              <w:t>Abstract</w:t>
            </w:r>
          </w:p>
        </w:tc>
        <w:tc>
          <w:tcPr>
            <w:tcW w:w="0" w:type="auto"/>
          </w:tcPr>
          <w:p w14:paraId="7042A39F" w14:textId="77777777" w:rsidR="009E6F90" w:rsidRDefault="009E6F90" w:rsidP="00485DF9">
            <w:r>
              <w:t xml:space="preserve">The </w:t>
            </w:r>
            <w:proofErr w:type="gramStart"/>
            <w:r>
              <w:t>World Wide</w:t>
            </w:r>
            <w:proofErr w:type="gramEnd"/>
            <w:r>
              <w:t xml:space="preserve"> FINGERS (WW-FINGERS) Network launched in 2017 as the first global network of multidomain lifestyle intervention trials for dementia risk reduction and ultimately prevention. Studies that participate in the WW-FINGERS network aim to apply, </w:t>
            </w:r>
            <w:proofErr w:type="gramStart"/>
            <w:r>
              <w:t>test</w:t>
            </w:r>
            <w:proofErr w:type="gramEnd"/>
            <w:r>
              <w:t xml:space="preserve"> and optimize the FINGER-like model to reduce risk across the spectrum of cognitive decline in different geographical, cultural and economic settings in individuals at greater risk as they age.</w:t>
            </w:r>
            <w:r>
              <w:br/>
            </w:r>
            <w:r>
              <w:br/>
              <w:t xml:space="preserve"> To support the expansion and opportunity for advancing this research, the Alzheimer’s Association is launching a pilot funding program for WW-FINGERS Network projects. The ALZ WW-FNFP will provide initial/startup funding and/or opportunities for ongoing studies to initiate WW-FINGERS like studies, to expand these studies or to add/leverage unique opportunities that enhance the study. This will be a competitive funding program and all submissions will be reviewed.</w:t>
            </w:r>
          </w:p>
        </w:tc>
      </w:tr>
      <w:tr w:rsidR="009E6F90" w14:paraId="46CBCDD4" w14:textId="77777777" w:rsidTr="00485DF9">
        <w:tc>
          <w:tcPr>
            <w:tcW w:w="0" w:type="auto"/>
          </w:tcPr>
          <w:p w14:paraId="62317B9D" w14:textId="77777777" w:rsidR="009E6F90" w:rsidRDefault="009E6F90" w:rsidP="00485DF9">
            <w:r>
              <w:t>Website</w:t>
            </w:r>
          </w:p>
        </w:tc>
        <w:tc>
          <w:tcPr>
            <w:tcW w:w="0" w:type="auto"/>
          </w:tcPr>
          <w:p w14:paraId="1F60272E" w14:textId="77777777" w:rsidR="009E6F90" w:rsidRDefault="00000000" w:rsidP="00485DF9">
            <w:hyperlink r:id="rId20">
              <w:r w:rsidR="009E6F90">
                <w:rPr>
                  <w:color w:val="000080"/>
                  <w:u w:val="single"/>
                </w:rPr>
                <w:t>https://www.alz.org/research/for_researchers/grants/types-of-grants/alzheimers-association-world-wide-fingers-network</w:t>
              </w:r>
            </w:hyperlink>
          </w:p>
        </w:tc>
      </w:tr>
    </w:tbl>
    <w:p w14:paraId="3F50213F" w14:textId="77777777" w:rsidR="009E6F90" w:rsidRDefault="009E6F90"/>
    <w:p w14:paraId="5438E93A" w14:textId="77777777" w:rsidR="009E6F90" w:rsidRDefault="009E6F90"/>
    <w:p w14:paraId="1CEA4CDF" w14:textId="77777777" w:rsidR="009E6F90" w:rsidRDefault="009E6F90" w:rsidP="009E6F90"/>
    <w:tbl>
      <w:tblPr>
        <w:tblW w:w="5000" w:type="pct"/>
        <w:tblCellMar>
          <w:top w:w="108" w:type="dxa"/>
        </w:tblCellMar>
        <w:tblLook w:val="0600" w:firstRow="0" w:lastRow="0" w:firstColumn="0" w:lastColumn="0" w:noHBand="1" w:noVBand="1"/>
      </w:tblPr>
      <w:tblGrid>
        <w:gridCol w:w="1150"/>
        <w:gridCol w:w="7876"/>
      </w:tblGrid>
      <w:tr w:rsidR="009E6F90" w14:paraId="369C911E" w14:textId="77777777" w:rsidTr="00485DF9">
        <w:tc>
          <w:tcPr>
            <w:tcW w:w="0" w:type="auto"/>
            <w:gridSpan w:val="2"/>
          </w:tcPr>
          <w:p w14:paraId="6393C294" w14:textId="77777777" w:rsidR="009E6F90" w:rsidRDefault="009E6F90" w:rsidP="00485DF9">
            <w:hyperlink r:id="rId21">
              <w:r>
                <w:rPr>
                  <w:color w:val="000080"/>
                  <w:sz w:val="22"/>
                  <w:u w:val="single"/>
                </w:rPr>
                <w:t>Collaborative Advancement of Cures for T1D</w:t>
              </w:r>
            </w:hyperlink>
          </w:p>
        </w:tc>
      </w:tr>
      <w:tr w:rsidR="009E6F90" w14:paraId="6DF2B599" w14:textId="77777777" w:rsidTr="00485DF9">
        <w:tc>
          <w:tcPr>
            <w:tcW w:w="0" w:type="auto"/>
          </w:tcPr>
          <w:p w14:paraId="2F77EE36" w14:textId="77777777" w:rsidR="009E6F90" w:rsidRDefault="009E6F90" w:rsidP="00485DF9">
            <w:r>
              <w:t>Funder</w:t>
            </w:r>
          </w:p>
        </w:tc>
        <w:tc>
          <w:tcPr>
            <w:tcW w:w="0" w:type="auto"/>
          </w:tcPr>
          <w:p w14:paraId="26FA5DF1" w14:textId="77777777" w:rsidR="009E6F90" w:rsidRDefault="00000000" w:rsidP="00485DF9">
            <w:hyperlink r:id="rId22">
              <w:r w:rsidR="009E6F90">
                <w:rPr>
                  <w:color w:val="000080"/>
                  <w:u w:val="single"/>
                </w:rPr>
                <w:t>JDRF</w:t>
              </w:r>
            </w:hyperlink>
          </w:p>
        </w:tc>
      </w:tr>
      <w:tr w:rsidR="009E6F90" w14:paraId="5E09DC72" w14:textId="77777777" w:rsidTr="00485DF9">
        <w:tc>
          <w:tcPr>
            <w:tcW w:w="0" w:type="auto"/>
          </w:tcPr>
          <w:p w14:paraId="132DA0A0"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925"/>
              <w:gridCol w:w="2804"/>
              <w:gridCol w:w="915"/>
            </w:tblGrid>
            <w:tr w:rsidR="009E6F90" w14:paraId="616C7F76" w14:textId="77777777" w:rsidTr="00485DF9">
              <w:tc>
                <w:tcPr>
                  <w:tcW w:w="0" w:type="auto"/>
                </w:tcPr>
                <w:p w14:paraId="5877DF48" w14:textId="77777777" w:rsidR="009E6F90" w:rsidRDefault="009E6F90" w:rsidP="00485DF9">
                  <w:r>
                    <w:rPr>
                      <w:b/>
                    </w:rPr>
                    <w:t>Date</w:t>
                  </w:r>
                </w:p>
              </w:tc>
              <w:tc>
                <w:tcPr>
                  <w:tcW w:w="0" w:type="auto"/>
                </w:tcPr>
                <w:p w14:paraId="09BDC01A" w14:textId="77777777" w:rsidR="009E6F90" w:rsidRDefault="009E6F90" w:rsidP="00485DF9">
                  <w:r>
                    <w:rPr>
                      <w:b/>
                    </w:rPr>
                    <w:t>What's due</w:t>
                  </w:r>
                </w:p>
              </w:tc>
              <w:tc>
                <w:tcPr>
                  <w:tcW w:w="0" w:type="auto"/>
                </w:tcPr>
                <w:p w14:paraId="4F7F4AFC" w14:textId="77777777" w:rsidR="009E6F90" w:rsidRDefault="009E6F90" w:rsidP="00485DF9">
                  <w:r>
                    <w:rPr>
                      <w:b/>
                    </w:rPr>
                    <w:t>Notes</w:t>
                  </w:r>
                </w:p>
              </w:tc>
            </w:tr>
            <w:tr w:rsidR="009E6F90" w14:paraId="3DA9FAE4" w14:textId="77777777" w:rsidTr="00485DF9">
              <w:tc>
                <w:tcPr>
                  <w:tcW w:w="0" w:type="auto"/>
                </w:tcPr>
                <w:p w14:paraId="1A62AA83" w14:textId="77777777" w:rsidR="009E6F90" w:rsidRDefault="009E6F90" w:rsidP="00485DF9">
                  <w:r>
                    <w:t>08 Dec 2023 - Anticipated / sponsor</w:t>
                  </w:r>
                </w:p>
              </w:tc>
              <w:tc>
                <w:tcPr>
                  <w:tcW w:w="0" w:type="auto"/>
                </w:tcPr>
                <w:p w14:paraId="5634127E" w14:textId="77777777" w:rsidR="009E6F90" w:rsidRDefault="009E6F90" w:rsidP="00485DF9">
                  <w:r>
                    <w:t>Letter of Intent - required</w:t>
                  </w:r>
                </w:p>
              </w:tc>
              <w:tc>
                <w:tcPr>
                  <w:tcW w:w="0" w:type="auto"/>
                </w:tcPr>
                <w:p w14:paraId="26B660BD" w14:textId="77777777" w:rsidR="009E6F90" w:rsidRDefault="009E6F90" w:rsidP="00485DF9"/>
              </w:tc>
            </w:tr>
            <w:tr w:rsidR="009E6F90" w14:paraId="1D8A4F7C" w14:textId="77777777" w:rsidTr="00485DF9">
              <w:tc>
                <w:tcPr>
                  <w:tcW w:w="0" w:type="auto"/>
                </w:tcPr>
                <w:p w14:paraId="3D0ADA90" w14:textId="77777777" w:rsidR="009E6F90" w:rsidRDefault="009E6F90" w:rsidP="00485DF9">
                  <w:r>
                    <w:t>13 Feb 2024 - Anticipated / sponsor</w:t>
                  </w:r>
                </w:p>
              </w:tc>
              <w:tc>
                <w:tcPr>
                  <w:tcW w:w="0" w:type="auto"/>
                </w:tcPr>
                <w:p w14:paraId="646FA911" w14:textId="77777777" w:rsidR="009E6F90" w:rsidRDefault="009E6F90" w:rsidP="00485DF9">
                  <w:r>
                    <w:t>Full Proposal - required</w:t>
                  </w:r>
                </w:p>
              </w:tc>
              <w:tc>
                <w:tcPr>
                  <w:tcW w:w="0" w:type="auto"/>
                </w:tcPr>
                <w:p w14:paraId="2AB5DA74" w14:textId="77777777" w:rsidR="009E6F90" w:rsidRDefault="009E6F90" w:rsidP="00485DF9"/>
              </w:tc>
            </w:tr>
          </w:tbl>
          <w:p w14:paraId="5E181C7D" w14:textId="77777777" w:rsidR="009E6F90" w:rsidRDefault="009E6F90" w:rsidP="00485DF9"/>
        </w:tc>
      </w:tr>
      <w:tr w:rsidR="009E6F90" w14:paraId="011D36E6" w14:textId="77777777" w:rsidTr="00485DF9">
        <w:tc>
          <w:tcPr>
            <w:tcW w:w="0" w:type="auto"/>
          </w:tcPr>
          <w:p w14:paraId="3B5AF6FA" w14:textId="77777777" w:rsidR="009E6F90" w:rsidRDefault="009E6F90" w:rsidP="00485DF9">
            <w:r>
              <w:t>Amount</w:t>
            </w:r>
          </w:p>
        </w:tc>
        <w:tc>
          <w:tcPr>
            <w:tcW w:w="0" w:type="auto"/>
          </w:tcPr>
          <w:p w14:paraId="2BC1AE70" w14:textId="77777777" w:rsidR="009E6F90" w:rsidRDefault="009E6F90" w:rsidP="00485DF9">
            <w:r>
              <w:rPr>
                <w:b/>
              </w:rPr>
              <w:t>Upper: $2,250,000 USD</w:t>
            </w:r>
          </w:p>
          <w:p w14:paraId="404DBB74" w14:textId="77777777" w:rsidR="009E6F90" w:rsidRDefault="009E6F90" w:rsidP="00485DF9">
            <w:r>
              <w:t>Each partnership may request up to $500,000 per year for those with two partners, or up to $750,000 for three or more partners, for up to 3 years.</w:t>
            </w:r>
          </w:p>
        </w:tc>
      </w:tr>
      <w:tr w:rsidR="009E6F90" w14:paraId="7ABA4AD1" w14:textId="77777777" w:rsidTr="00485DF9">
        <w:tc>
          <w:tcPr>
            <w:tcW w:w="0" w:type="auto"/>
          </w:tcPr>
          <w:p w14:paraId="58CFBC4B" w14:textId="77777777" w:rsidR="009E6F90" w:rsidRDefault="009E6F90" w:rsidP="00485DF9">
            <w:r>
              <w:t>Eligibility</w:t>
            </w:r>
          </w:p>
        </w:tc>
        <w:tc>
          <w:tcPr>
            <w:tcW w:w="0" w:type="auto"/>
          </w:tcPr>
          <w:p w14:paraId="34775F91" w14:textId="77777777" w:rsidR="009E6F90" w:rsidRDefault="009E6F90" w:rsidP="00485DF9">
            <w:pPr>
              <w:pStyle w:val="ListParagraph"/>
            </w:pPr>
            <w:r>
              <w:t>JDRF welcomes Letters of Intent (LOIs) from established and/or new collaborative teams of investigators, organizations, and companies with the demonstrated expertise to carry out the proposed research.</w:t>
            </w:r>
          </w:p>
          <w:p w14:paraId="629A0634" w14:textId="77777777" w:rsidR="009E6F90" w:rsidRDefault="009E6F90" w:rsidP="00485DF9">
            <w:pPr>
              <w:pStyle w:val="ListParagraph"/>
            </w:pPr>
            <w:r>
              <w:t>Teams of investigators should identify an investigator and institution to serve as the lead applicant, team coordinator and principal investigator of the JDRF application.</w:t>
            </w:r>
          </w:p>
          <w:p w14:paraId="49ECF280" w14:textId="77777777" w:rsidR="009E6F90" w:rsidRDefault="009E6F90" w:rsidP="00485DF9">
            <w:pPr>
              <w:pStyle w:val="ListParagraph"/>
            </w:pPr>
            <w:r>
              <w:t>Applications may be submitted by domestic and foreign non-profit organizations, public and private, such as universities, colleges, hospitals, laboratories, industry, units of state and local governments, and eligible agencies of the federal government.</w:t>
            </w:r>
          </w:p>
          <w:p w14:paraId="221FEAC6" w14:textId="77777777" w:rsidR="009E6F90" w:rsidRDefault="009E6F90" w:rsidP="00485DF9">
            <w:pPr>
              <w:pStyle w:val="ListParagraph"/>
            </w:pPr>
            <w:r>
              <w:t>Applicants must hold an M.D., D.M.D., D.V.M., Ph.D., or equivalent and have a faculty position or equivalent at a college, university, medical school, or other research facility.</w:t>
            </w:r>
          </w:p>
          <w:p w14:paraId="3D7E7257" w14:textId="77777777" w:rsidR="009E6F90" w:rsidRDefault="009E6F90" w:rsidP="00485DF9">
            <w:pPr>
              <w:pStyle w:val="ListParagraph"/>
            </w:pPr>
            <w:r>
              <w:t>There are no citizenship requirements for this program. To assure continued excellence and diversity among applicants and awardees, JDRF welcomes applications from all qualified individuals and encourages applications from persons with disabilities, women, and members of minority groups underrepresented in the sciences.</w:t>
            </w:r>
          </w:p>
          <w:p w14:paraId="36F5473A" w14:textId="77777777" w:rsidR="009E6F90" w:rsidRDefault="009E6F90" w:rsidP="00485DF9">
            <w:pPr>
              <w:pStyle w:val="ListParagraph"/>
            </w:pPr>
            <w:r>
              <w:t>JDRF’s standard Terms and Conditions will apply to all non-industry grants. Please review them in advance to ensure your collaboration will be able to comply. Contact your JDRF Program Contact with any questions</w:t>
            </w:r>
          </w:p>
        </w:tc>
      </w:tr>
      <w:tr w:rsidR="009E6F90" w14:paraId="21E152E3" w14:textId="77777777" w:rsidTr="00485DF9">
        <w:tc>
          <w:tcPr>
            <w:tcW w:w="0" w:type="auto"/>
          </w:tcPr>
          <w:p w14:paraId="57D53075" w14:textId="77777777" w:rsidR="009E6F90" w:rsidRDefault="009E6F90" w:rsidP="00485DF9">
            <w:r>
              <w:t>Abstract</w:t>
            </w:r>
          </w:p>
        </w:tc>
        <w:tc>
          <w:tcPr>
            <w:tcW w:w="0" w:type="auto"/>
          </w:tcPr>
          <w:p w14:paraId="28B0CE26" w14:textId="77777777" w:rsidR="009E6F90" w:rsidRDefault="009E6F90" w:rsidP="00485DF9">
            <w:r>
              <w:t>The goal of this funding opportunity is to accelerate the development of therapies to prevent, slow, halt or reverse the progression of Type 1 Diabetes (T1D) and/or cure established T1D through the advancement of high-impact research carried out by coordinated, multidisciplinary teams.</w:t>
            </w:r>
            <w:r>
              <w:br/>
            </w:r>
            <w:r>
              <w:br/>
              <w:t xml:space="preserve"> JDRF, the world’s leading non-profit organization with the mission to cure T1D, aspires to accelerate the development of therapies to prevent, slow, halt or reverse disease progression and provide insulin independence to all those at risk or affected by T1D. Major advancement continues to be made in therapies that protect beta cell survival and function, disrupt the autoimmune attack on beta cells, and provide insulin and restore glycemic control through the use of beta cell transplantation. JDRF seeks to rapidly expand upon and translate these </w:t>
            </w:r>
            <w:r>
              <w:lastRenderedPageBreak/>
              <w:t>approaches to clinical trials to benefit patients at all stages of disease. Achieving this goal and addressing major advancement of therapies will require expanded resources and broad multidisciplinary expertise, likely more than can be achieved in a single grant or by individual laboratories.</w:t>
            </w:r>
          </w:p>
        </w:tc>
      </w:tr>
      <w:tr w:rsidR="009E6F90" w14:paraId="412253E1" w14:textId="77777777" w:rsidTr="00485DF9">
        <w:tc>
          <w:tcPr>
            <w:tcW w:w="0" w:type="auto"/>
          </w:tcPr>
          <w:p w14:paraId="5C358217" w14:textId="77777777" w:rsidR="009E6F90" w:rsidRDefault="009E6F90" w:rsidP="00485DF9">
            <w:r>
              <w:lastRenderedPageBreak/>
              <w:t>Website</w:t>
            </w:r>
          </w:p>
        </w:tc>
        <w:tc>
          <w:tcPr>
            <w:tcW w:w="0" w:type="auto"/>
          </w:tcPr>
          <w:p w14:paraId="0BCC8BF8" w14:textId="77777777" w:rsidR="009E6F90" w:rsidRDefault="00000000" w:rsidP="00485DF9">
            <w:hyperlink r:id="rId23">
              <w:r w:rsidR="009E6F90">
                <w:rPr>
                  <w:color w:val="000080"/>
                  <w:u w:val="single"/>
                </w:rPr>
                <w:t>https://grantcenter.jdrf.org/rfa/collaborative-advancement-of-cures-for-t1d/</w:t>
              </w:r>
            </w:hyperlink>
          </w:p>
        </w:tc>
      </w:tr>
    </w:tbl>
    <w:p w14:paraId="21F05B46" w14:textId="77777777" w:rsidR="009E6F90" w:rsidRDefault="009E6F90"/>
    <w:tbl>
      <w:tblPr>
        <w:tblW w:w="5000" w:type="pct"/>
        <w:tblCellMar>
          <w:top w:w="108" w:type="dxa"/>
        </w:tblCellMar>
        <w:tblLook w:val="0600" w:firstRow="0" w:lastRow="0" w:firstColumn="0" w:lastColumn="0" w:noHBand="1" w:noVBand="1"/>
      </w:tblPr>
      <w:tblGrid>
        <w:gridCol w:w="1155"/>
        <w:gridCol w:w="7871"/>
      </w:tblGrid>
      <w:tr w:rsidR="009E6F90" w14:paraId="7AA38024" w14:textId="77777777" w:rsidTr="00485DF9">
        <w:tc>
          <w:tcPr>
            <w:tcW w:w="0" w:type="auto"/>
            <w:gridSpan w:val="2"/>
          </w:tcPr>
          <w:p w14:paraId="6C364FE2" w14:textId="77777777" w:rsidR="009E6F90" w:rsidRDefault="00000000" w:rsidP="00485DF9">
            <w:hyperlink r:id="rId24">
              <w:r w:rsidR="009E6F90">
                <w:rPr>
                  <w:color w:val="000080"/>
                  <w:sz w:val="22"/>
                  <w:u w:val="single"/>
                </w:rPr>
                <w:t>Alzheimer's Disease Research (ADR): Standard Awards</w:t>
              </w:r>
            </w:hyperlink>
          </w:p>
        </w:tc>
      </w:tr>
      <w:tr w:rsidR="009E6F90" w14:paraId="5979F76A" w14:textId="77777777" w:rsidTr="00485DF9">
        <w:tc>
          <w:tcPr>
            <w:tcW w:w="0" w:type="auto"/>
          </w:tcPr>
          <w:p w14:paraId="6D77ECC5" w14:textId="77777777" w:rsidR="009E6F90" w:rsidRDefault="009E6F90" w:rsidP="00485DF9">
            <w:r>
              <w:t>Funder</w:t>
            </w:r>
          </w:p>
        </w:tc>
        <w:tc>
          <w:tcPr>
            <w:tcW w:w="0" w:type="auto"/>
          </w:tcPr>
          <w:p w14:paraId="2CC33FF9" w14:textId="77777777" w:rsidR="009E6F90" w:rsidRDefault="00000000" w:rsidP="00485DF9">
            <w:hyperlink r:id="rId25">
              <w:proofErr w:type="spellStart"/>
              <w:r w:rsidR="009E6F90">
                <w:rPr>
                  <w:color w:val="000080"/>
                  <w:u w:val="single"/>
                </w:rPr>
                <w:t>BrightFocus</w:t>
              </w:r>
              <w:proofErr w:type="spellEnd"/>
              <w:r w:rsidR="009E6F90">
                <w:rPr>
                  <w:color w:val="000080"/>
                  <w:u w:val="single"/>
                </w:rPr>
                <w:t xml:space="preserve"> Foundation</w:t>
              </w:r>
            </w:hyperlink>
          </w:p>
        </w:tc>
      </w:tr>
      <w:tr w:rsidR="009E6F90" w14:paraId="7664E2B1" w14:textId="77777777" w:rsidTr="00485DF9">
        <w:tc>
          <w:tcPr>
            <w:tcW w:w="0" w:type="auto"/>
          </w:tcPr>
          <w:p w14:paraId="3715940C"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773"/>
              <w:gridCol w:w="2350"/>
              <w:gridCol w:w="1516"/>
            </w:tblGrid>
            <w:tr w:rsidR="009E6F90" w14:paraId="1621C3B0" w14:textId="77777777" w:rsidTr="00485DF9">
              <w:tc>
                <w:tcPr>
                  <w:tcW w:w="0" w:type="auto"/>
                </w:tcPr>
                <w:p w14:paraId="51DD5179" w14:textId="77777777" w:rsidR="009E6F90" w:rsidRDefault="009E6F90" w:rsidP="00485DF9">
                  <w:r>
                    <w:rPr>
                      <w:b/>
                    </w:rPr>
                    <w:t>Date</w:t>
                  </w:r>
                </w:p>
              </w:tc>
              <w:tc>
                <w:tcPr>
                  <w:tcW w:w="0" w:type="auto"/>
                </w:tcPr>
                <w:p w14:paraId="328B62E1" w14:textId="77777777" w:rsidR="009E6F90" w:rsidRDefault="009E6F90" w:rsidP="00485DF9">
                  <w:r>
                    <w:rPr>
                      <w:b/>
                    </w:rPr>
                    <w:t>What's due</w:t>
                  </w:r>
                </w:p>
              </w:tc>
              <w:tc>
                <w:tcPr>
                  <w:tcW w:w="0" w:type="auto"/>
                </w:tcPr>
                <w:p w14:paraId="285D1600" w14:textId="77777777" w:rsidR="009E6F90" w:rsidRDefault="009E6F90" w:rsidP="00485DF9">
                  <w:r>
                    <w:rPr>
                      <w:b/>
                    </w:rPr>
                    <w:t>Notes</w:t>
                  </w:r>
                </w:p>
              </w:tc>
            </w:tr>
            <w:tr w:rsidR="009E6F90" w14:paraId="672AB7F7" w14:textId="77777777" w:rsidTr="00485DF9">
              <w:tc>
                <w:tcPr>
                  <w:tcW w:w="0" w:type="auto"/>
                </w:tcPr>
                <w:p w14:paraId="285CE791" w14:textId="77777777" w:rsidR="009E6F90" w:rsidRDefault="009E6F90" w:rsidP="00485DF9">
                  <w:r>
                    <w:t>01 Nov 2023 - Anticipated / sponsor</w:t>
                  </w:r>
                </w:p>
              </w:tc>
              <w:tc>
                <w:tcPr>
                  <w:tcW w:w="0" w:type="auto"/>
                </w:tcPr>
                <w:p w14:paraId="0F2C7B19" w14:textId="77777777" w:rsidR="009E6F90" w:rsidRDefault="009E6F90" w:rsidP="00485DF9">
                  <w:r>
                    <w:t>Application - required</w:t>
                  </w:r>
                </w:p>
              </w:tc>
              <w:tc>
                <w:tcPr>
                  <w:tcW w:w="0" w:type="auto"/>
                </w:tcPr>
                <w:p w14:paraId="387B2442" w14:textId="77777777" w:rsidR="009E6F90" w:rsidRDefault="009E6F90" w:rsidP="00485DF9">
                  <w:r>
                    <w:t>5:00PM EST</w:t>
                  </w:r>
                </w:p>
              </w:tc>
            </w:tr>
          </w:tbl>
          <w:p w14:paraId="6CE05D36" w14:textId="77777777" w:rsidR="009E6F90" w:rsidRDefault="009E6F90" w:rsidP="00485DF9"/>
        </w:tc>
      </w:tr>
      <w:tr w:rsidR="009E6F90" w14:paraId="265FCA43" w14:textId="77777777" w:rsidTr="00485DF9">
        <w:tc>
          <w:tcPr>
            <w:tcW w:w="0" w:type="auto"/>
          </w:tcPr>
          <w:p w14:paraId="175986BB" w14:textId="77777777" w:rsidR="009E6F90" w:rsidRDefault="009E6F90" w:rsidP="00485DF9">
            <w:r>
              <w:t>Amount</w:t>
            </w:r>
          </w:p>
        </w:tc>
        <w:tc>
          <w:tcPr>
            <w:tcW w:w="0" w:type="auto"/>
          </w:tcPr>
          <w:p w14:paraId="60927319" w14:textId="77777777" w:rsidR="009E6F90" w:rsidRDefault="009E6F90" w:rsidP="00485DF9">
            <w:r>
              <w:rPr>
                <w:b/>
              </w:rPr>
              <w:t>Upper: $300,000 USD</w:t>
            </w:r>
          </w:p>
          <w:p w14:paraId="6D5664A4" w14:textId="77777777" w:rsidR="009E6F90" w:rsidRDefault="009E6F90" w:rsidP="00485DF9">
            <w:r>
              <w:t>Award Amount: $300,000</w:t>
            </w:r>
            <w:r>
              <w:br/>
              <w:t>Duration: 3 years</w:t>
            </w:r>
          </w:p>
        </w:tc>
      </w:tr>
      <w:tr w:rsidR="009E6F90" w14:paraId="47CBFC82" w14:textId="77777777" w:rsidTr="00485DF9">
        <w:tc>
          <w:tcPr>
            <w:tcW w:w="0" w:type="auto"/>
          </w:tcPr>
          <w:p w14:paraId="43DF285C" w14:textId="77777777" w:rsidR="009E6F90" w:rsidRDefault="009E6F90" w:rsidP="00485DF9">
            <w:r>
              <w:t>Eligibility</w:t>
            </w:r>
          </w:p>
        </w:tc>
        <w:tc>
          <w:tcPr>
            <w:tcW w:w="0" w:type="auto"/>
          </w:tcPr>
          <w:p w14:paraId="631C17DA" w14:textId="77777777" w:rsidR="009E6F90" w:rsidRDefault="009E6F90" w:rsidP="00485DF9">
            <w:proofErr w:type="spellStart"/>
            <w:r>
              <w:t>BrightFocus</w:t>
            </w:r>
            <w:proofErr w:type="spellEnd"/>
            <w:r>
              <w:t xml:space="preserve"> will fund grants for research at non-profit organizations or institutions only.  Each Grantee Institution must submit evidence of its tax-exempt status to </w:t>
            </w:r>
            <w:proofErr w:type="spellStart"/>
            <w:r>
              <w:t>BrightFocus</w:t>
            </w:r>
            <w:proofErr w:type="spellEnd"/>
            <w:r>
              <w:t xml:space="preserve"> prior to the distribution of any Grant including but not limited to, a tax determination from the Internal Revenue Service.  </w:t>
            </w:r>
            <w:r>
              <w:br/>
            </w:r>
            <w:r>
              <w:br/>
              <w:t xml:space="preserve">For foreign institutions: Each Grantee Institution must submit evidence of its tax-exempt status to </w:t>
            </w:r>
            <w:proofErr w:type="spellStart"/>
            <w:r>
              <w:t>BrightFocus</w:t>
            </w:r>
            <w:proofErr w:type="spellEnd"/>
            <w:r>
              <w:t xml:space="preserve"> prior to the distribution of any Grant, including but not limited to, a determination of tax-exempt or nonprofit status from their home country of origin.</w:t>
            </w:r>
            <w:r>
              <w:br/>
            </w:r>
            <w:r>
              <w:br/>
            </w:r>
            <w:proofErr w:type="spellStart"/>
            <w:r>
              <w:t>BrightFocus</w:t>
            </w:r>
            <w:proofErr w:type="spellEnd"/>
            <w:r>
              <w:t xml:space="preserve"> provides research funds for U.S. domestic as well as international researchers.</w:t>
            </w:r>
            <w:r>
              <w:br/>
            </w:r>
            <w:r>
              <w:br/>
              <w:t xml:space="preserve">The Principal Investigator (PI) position on </w:t>
            </w:r>
            <w:proofErr w:type="spellStart"/>
            <w:r>
              <w:t>BrightFocus</w:t>
            </w:r>
            <w:proofErr w:type="spellEnd"/>
            <w:r>
              <w:t xml:space="preserve"> Standard Awards are open to tenure- and non-tenure track investigators of any career stage who are appropriately trained to lead an independent research study, and are permitted by their organizations to manage grants and supervise key personnel. Applicants should have completed their formal post-doctoral mentored research </w:t>
            </w:r>
            <w:proofErr w:type="gramStart"/>
            <w:r>
              <w:t>training, and</w:t>
            </w:r>
            <w:proofErr w:type="gramEnd"/>
            <w:r>
              <w:t xml:space="preserve"> must be the intellectual and creative leads for the proposed projects. Postdoctoral Fellows may serve as PI for Alzheimer's Disease Research (ADR) Postdoctoral Fellowships only.</w:t>
            </w:r>
          </w:p>
        </w:tc>
      </w:tr>
      <w:tr w:rsidR="009E6F90" w14:paraId="7CE1B0E6" w14:textId="77777777" w:rsidTr="00485DF9">
        <w:tc>
          <w:tcPr>
            <w:tcW w:w="0" w:type="auto"/>
          </w:tcPr>
          <w:p w14:paraId="77A2D9CB" w14:textId="77777777" w:rsidR="009E6F90" w:rsidRDefault="009E6F90" w:rsidP="00485DF9">
            <w:r>
              <w:t>Abstract</w:t>
            </w:r>
          </w:p>
        </w:tc>
        <w:tc>
          <w:tcPr>
            <w:tcW w:w="0" w:type="auto"/>
          </w:tcPr>
          <w:p w14:paraId="3D8A4765" w14:textId="77777777" w:rsidR="009E6F90" w:rsidRDefault="009E6F90" w:rsidP="00485DF9">
            <w:r>
              <w:t>The standard award provides significant funding for researchers who have already generated some amount of preliminary data, but are often required to demonstrate additional, significant progress before they can apply to governmental or industrial funding agencies.</w:t>
            </w:r>
          </w:p>
        </w:tc>
      </w:tr>
      <w:tr w:rsidR="009E6F90" w14:paraId="1B89C419" w14:textId="77777777" w:rsidTr="00485DF9">
        <w:tc>
          <w:tcPr>
            <w:tcW w:w="0" w:type="auto"/>
          </w:tcPr>
          <w:p w14:paraId="794C6522" w14:textId="77777777" w:rsidR="009E6F90" w:rsidRDefault="009E6F90" w:rsidP="00485DF9">
            <w:r>
              <w:t>Website</w:t>
            </w:r>
          </w:p>
        </w:tc>
        <w:tc>
          <w:tcPr>
            <w:tcW w:w="0" w:type="auto"/>
          </w:tcPr>
          <w:p w14:paraId="02D0B3AE" w14:textId="77777777" w:rsidR="009E6F90" w:rsidRDefault="00000000" w:rsidP="00485DF9">
            <w:hyperlink r:id="rId26">
              <w:r w:rsidR="009E6F90">
                <w:rPr>
                  <w:color w:val="000080"/>
                  <w:u w:val="single"/>
                </w:rPr>
                <w:t>https://www.brightfocus.org/grants/types-grants</w:t>
              </w:r>
            </w:hyperlink>
          </w:p>
        </w:tc>
      </w:tr>
    </w:tbl>
    <w:p w14:paraId="4B2D0A30" w14:textId="77777777" w:rsidR="009E6F90" w:rsidRDefault="009E6F90"/>
    <w:tbl>
      <w:tblPr>
        <w:tblW w:w="5000" w:type="pct"/>
        <w:tblCellMar>
          <w:top w:w="108" w:type="dxa"/>
        </w:tblCellMar>
        <w:tblLook w:val="0600" w:firstRow="0" w:lastRow="0" w:firstColumn="0" w:lastColumn="0" w:noHBand="1" w:noVBand="1"/>
      </w:tblPr>
      <w:tblGrid>
        <w:gridCol w:w="1154"/>
        <w:gridCol w:w="7872"/>
      </w:tblGrid>
      <w:tr w:rsidR="009E6F90" w14:paraId="17C10F0F" w14:textId="77777777" w:rsidTr="00485DF9">
        <w:tc>
          <w:tcPr>
            <w:tcW w:w="0" w:type="auto"/>
            <w:gridSpan w:val="2"/>
          </w:tcPr>
          <w:p w14:paraId="385B0AFB" w14:textId="77777777" w:rsidR="009E6F90" w:rsidRDefault="009E6F90" w:rsidP="00485DF9">
            <w:hyperlink r:id="rId27">
              <w:r>
                <w:rPr>
                  <w:color w:val="000080"/>
                  <w:sz w:val="22"/>
                  <w:u w:val="single"/>
                </w:rPr>
                <w:t>Notice of Special Interest (NOSI): Addressing Evidence Gaps in Screening</w:t>
              </w:r>
            </w:hyperlink>
          </w:p>
        </w:tc>
      </w:tr>
      <w:tr w:rsidR="009E6F90" w14:paraId="1473C501" w14:textId="77777777" w:rsidTr="00485DF9">
        <w:tc>
          <w:tcPr>
            <w:tcW w:w="0" w:type="auto"/>
          </w:tcPr>
          <w:p w14:paraId="646B7E0D" w14:textId="77777777" w:rsidR="009E6F90" w:rsidRDefault="009E6F90" w:rsidP="00485DF9">
            <w:r>
              <w:t>Funder</w:t>
            </w:r>
          </w:p>
        </w:tc>
        <w:tc>
          <w:tcPr>
            <w:tcW w:w="0" w:type="auto"/>
          </w:tcPr>
          <w:p w14:paraId="0ACF9D21" w14:textId="77777777" w:rsidR="009E6F90" w:rsidRDefault="00000000" w:rsidP="00485DF9">
            <w:hyperlink r:id="rId28">
              <w:r w:rsidR="009E6F90">
                <w:rPr>
                  <w:color w:val="000080"/>
                  <w:u w:val="single"/>
                </w:rPr>
                <w:t>National Institutes of Health (NIH)</w:t>
              </w:r>
            </w:hyperlink>
          </w:p>
          <w:p w14:paraId="59CBBDC0" w14:textId="77777777" w:rsidR="009E6F90" w:rsidRDefault="00000000" w:rsidP="00485DF9">
            <w:hyperlink r:id="rId29">
              <w:r w:rsidR="009E6F90">
                <w:rPr>
                  <w:color w:val="000080"/>
                  <w:u w:val="single"/>
                </w:rPr>
                <w:t>United States Department of Health and Human Services (HHS)</w:t>
              </w:r>
            </w:hyperlink>
          </w:p>
          <w:p w14:paraId="783B4284" w14:textId="77777777" w:rsidR="009E6F90" w:rsidRDefault="009E6F90" w:rsidP="00485DF9">
            <w:r>
              <w:t>Funder's opportunity ID: NOT-OD-22-179</w:t>
            </w:r>
          </w:p>
        </w:tc>
      </w:tr>
      <w:tr w:rsidR="009E6F90" w14:paraId="6DF30968" w14:textId="77777777" w:rsidTr="00485DF9">
        <w:tc>
          <w:tcPr>
            <w:tcW w:w="0" w:type="auto"/>
          </w:tcPr>
          <w:p w14:paraId="3859855D"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092"/>
              <w:gridCol w:w="2582"/>
              <w:gridCol w:w="966"/>
            </w:tblGrid>
            <w:tr w:rsidR="009E6F90" w14:paraId="341ADA00" w14:textId="77777777" w:rsidTr="00485DF9">
              <w:tc>
                <w:tcPr>
                  <w:tcW w:w="0" w:type="auto"/>
                </w:tcPr>
                <w:p w14:paraId="5D5E1DFF" w14:textId="77777777" w:rsidR="009E6F90" w:rsidRDefault="009E6F90" w:rsidP="00485DF9">
                  <w:r>
                    <w:rPr>
                      <w:b/>
                    </w:rPr>
                    <w:t>Date</w:t>
                  </w:r>
                </w:p>
              </w:tc>
              <w:tc>
                <w:tcPr>
                  <w:tcW w:w="0" w:type="auto"/>
                </w:tcPr>
                <w:p w14:paraId="7EB197F9" w14:textId="77777777" w:rsidR="009E6F90" w:rsidRDefault="009E6F90" w:rsidP="00485DF9">
                  <w:r>
                    <w:rPr>
                      <w:b/>
                    </w:rPr>
                    <w:t>What's due</w:t>
                  </w:r>
                </w:p>
              </w:tc>
              <w:tc>
                <w:tcPr>
                  <w:tcW w:w="0" w:type="auto"/>
                </w:tcPr>
                <w:p w14:paraId="7E203193" w14:textId="77777777" w:rsidR="009E6F90" w:rsidRDefault="009E6F90" w:rsidP="00485DF9">
                  <w:r>
                    <w:rPr>
                      <w:b/>
                    </w:rPr>
                    <w:t>Notes</w:t>
                  </w:r>
                </w:p>
              </w:tc>
            </w:tr>
            <w:tr w:rsidR="009E6F90" w14:paraId="3F2F2103" w14:textId="77777777" w:rsidTr="00485DF9">
              <w:tc>
                <w:tcPr>
                  <w:tcW w:w="0" w:type="auto"/>
                </w:tcPr>
                <w:p w14:paraId="052A06BF" w14:textId="77777777" w:rsidR="009E6F90" w:rsidRDefault="009E6F90" w:rsidP="00485DF9">
                  <w:r>
                    <w:t>08 May 2025 - Confirmed / sponsor</w:t>
                  </w:r>
                </w:p>
              </w:tc>
              <w:tc>
                <w:tcPr>
                  <w:tcW w:w="0" w:type="auto"/>
                </w:tcPr>
                <w:p w14:paraId="38519192" w14:textId="77777777" w:rsidR="009E6F90" w:rsidRDefault="009E6F90" w:rsidP="00485DF9">
                  <w:r>
                    <w:t>Application - required</w:t>
                  </w:r>
                </w:p>
              </w:tc>
              <w:tc>
                <w:tcPr>
                  <w:tcW w:w="0" w:type="auto"/>
                </w:tcPr>
                <w:p w14:paraId="2C4A731E" w14:textId="77777777" w:rsidR="009E6F90" w:rsidRDefault="009E6F90" w:rsidP="00485DF9"/>
              </w:tc>
            </w:tr>
          </w:tbl>
          <w:p w14:paraId="0E124523" w14:textId="77777777" w:rsidR="009E6F90" w:rsidRDefault="009E6F90" w:rsidP="00485DF9"/>
        </w:tc>
      </w:tr>
      <w:tr w:rsidR="009E6F90" w14:paraId="558E7442" w14:textId="77777777" w:rsidTr="00485DF9">
        <w:tc>
          <w:tcPr>
            <w:tcW w:w="0" w:type="auto"/>
          </w:tcPr>
          <w:p w14:paraId="1FBCD5BE" w14:textId="77777777" w:rsidR="009E6F90" w:rsidRDefault="009E6F90" w:rsidP="00485DF9">
            <w:r>
              <w:t>Deadline Note</w:t>
            </w:r>
          </w:p>
        </w:tc>
        <w:tc>
          <w:tcPr>
            <w:tcW w:w="0" w:type="auto"/>
          </w:tcPr>
          <w:p w14:paraId="2A609059" w14:textId="77777777" w:rsidR="009E6F90" w:rsidRDefault="009E6F90" w:rsidP="00485DF9">
            <w:r>
              <w:t>This NOSI applies to due dates on or after October 4, 2022, and subsequent receipt dates through May 8, 2025.</w:t>
            </w:r>
            <w:r>
              <w:br/>
            </w:r>
            <w:r>
              <w:br/>
              <w:t xml:space="preserve"> You may submit applications for this initiative using any of the twenty-nine funding opportunity announcements (FOAs) listed on the website above, or any reissues of these announcement through the expiration date of this notice.</w:t>
            </w:r>
          </w:p>
        </w:tc>
      </w:tr>
      <w:tr w:rsidR="009E6F90" w14:paraId="7DF64C37" w14:textId="77777777" w:rsidTr="00485DF9">
        <w:tc>
          <w:tcPr>
            <w:tcW w:w="0" w:type="auto"/>
          </w:tcPr>
          <w:p w14:paraId="550EDE38" w14:textId="77777777" w:rsidR="009E6F90" w:rsidRDefault="009E6F90" w:rsidP="00485DF9">
            <w:r>
              <w:t>Abstract</w:t>
            </w:r>
          </w:p>
        </w:tc>
        <w:tc>
          <w:tcPr>
            <w:tcW w:w="0" w:type="auto"/>
          </w:tcPr>
          <w:p w14:paraId="366FE6CE" w14:textId="48D62904" w:rsidR="009E6F90" w:rsidRDefault="009E6F90" w:rsidP="00485DF9">
            <w:r>
              <w:t>The Office of Disease Prevention (ODP) and participating National Institutes of Health (NIH) Institutes, Centers, and Offices (ICs) are issuing this Notice of Special Interest (NOSI) to solicit applications proposing to strengthen the evidence base for preventive screening services where the evidence is lacking, of poor quality, conflicting, or the balance of benefits and harms cannot be determined. This NOSI encourages the development and use of innovative and rigorous methods and approaches to close high priority evidence gaps to elevate screening services to a level suitable for a definitive grade or recommendation. The specific research interests of participating NIH ICs are detailed within.</w:t>
            </w:r>
            <w:r>
              <w:br/>
            </w:r>
            <w:r>
              <w:br/>
              <w:t xml:space="preserve"> This NOSI encourages translational research aimed at filling identified knowledge gaps to expand the evidence base for evaluating the balance of benefits and harms for proposed </w:t>
            </w:r>
            <w:r>
              <w:lastRenderedPageBreak/>
              <w:t>preventive screenings. This includes efficacy, effectiveness, mechanistic, and longitudinal studies, cost effectiveness analyses, as well as research on novel methods, measurements, study designs, analyses, theoretical frameworks, and tools that can generate the research needed to close screening-related evidence gaps. This also includes conceptualizing and validating measures for novel health outcomes to capture the impact of screening, encompassing not just reductions in disease and disability, but also effects on quality of life and subjective well-being. Applicants interested in research involving multilevel interventions to improve the uptake of recommended screening services and/or address barriers to screening are directed to the companion NOSI (NOT-OD-22-178).</w:t>
            </w:r>
            <w:r>
              <w:br/>
            </w:r>
          </w:p>
        </w:tc>
      </w:tr>
      <w:tr w:rsidR="009E6F90" w14:paraId="03D9F410" w14:textId="77777777" w:rsidTr="00485DF9">
        <w:tc>
          <w:tcPr>
            <w:tcW w:w="0" w:type="auto"/>
          </w:tcPr>
          <w:p w14:paraId="6CD6E2F2" w14:textId="77777777" w:rsidR="009E6F90" w:rsidRDefault="009E6F90" w:rsidP="00485DF9">
            <w:r>
              <w:lastRenderedPageBreak/>
              <w:t>Website</w:t>
            </w:r>
          </w:p>
        </w:tc>
        <w:tc>
          <w:tcPr>
            <w:tcW w:w="0" w:type="auto"/>
          </w:tcPr>
          <w:p w14:paraId="0ACD5F9E" w14:textId="77777777" w:rsidR="009E6F90" w:rsidRDefault="00000000" w:rsidP="00485DF9">
            <w:hyperlink r:id="rId30">
              <w:r w:rsidR="009E6F90">
                <w:rPr>
                  <w:color w:val="000080"/>
                  <w:u w:val="single"/>
                </w:rPr>
                <w:t>https://grants.nih.gov/grants/guide/notice-files/NOT-OD-22-179.html</w:t>
              </w:r>
            </w:hyperlink>
          </w:p>
        </w:tc>
      </w:tr>
    </w:tbl>
    <w:p w14:paraId="16C9FA0A" w14:textId="77777777" w:rsidR="009E6F90" w:rsidRDefault="009E6F90"/>
    <w:tbl>
      <w:tblPr>
        <w:tblW w:w="5000" w:type="pct"/>
        <w:tblCellMar>
          <w:top w:w="108" w:type="dxa"/>
        </w:tblCellMar>
        <w:tblLook w:val="0600" w:firstRow="0" w:lastRow="0" w:firstColumn="0" w:lastColumn="0" w:noHBand="1" w:noVBand="1"/>
      </w:tblPr>
      <w:tblGrid>
        <w:gridCol w:w="1180"/>
        <w:gridCol w:w="7846"/>
      </w:tblGrid>
      <w:tr w:rsidR="009E6F90" w14:paraId="7A4B5697" w14:textId="77777777" w:rsidTr="00485DF9">
        <w:tc>
          <w:tcPr>
            <w:tcW w:w="0" w:type="auto"/>
            <w:gridSpan w:val="2"/>
          </w:tcPr>
          <w:p w14:paraId="4746983E" w14:textId="77777777" w:rsidR="009E6F90" w:rsidRDefault="00000000" w:rsidP="00485DF9">
            <w:hyperlink r:id="rId31">
              <w:r w:rsidR="009E6F90">
                <w:rPr>
                  <w:color w:val="000080"/>
                  <w:sz w:val="22"/>
                  <w:u w:val="single"/>
                </w:rPr>
                <w:t>Research grant</w:t>
              </w:r>
            </w:hyperlink>
          </w:p>
        </w:tc>
      </w:tr>
      <w:tr w:rsidR="009E6F90" w14:paraId="188471AD" w14:textId="77777777" w:rsidTr="00485DF9">
        <w:tc>
          <w:tcPr>
            <w:tcW w:w="0" w:type="auto"/>
          </w:tcPr>
          <w:p w14:paraId="3745D76A" w14:textId="77777777" w:rsidR="009E6F90" w:rsidRDefault="009E6F90" w:rsidP="00485DF9">
            <w:r>
              <w:t>Funder</w:t>
            </w:r>
          </w:p>
        </w:tc>
        <w:tc>
          <w:tcPr>
            <w:tcW w:w="0" w:type="auto"/>
          </w:tcPr>
          <w:p w14:paraId="0D65E164" w14:textId="77777777" w:rsidR="009E6F90" w:rsidRDefault="00000000" w:rsidP="00485DF9">
            <w:hyperlink r:id="rId32">
              <w:r w:rsidR="009E6F90">
                <w:rPr>
                  <w:color w:val="000080"/>
                  <w:u w:val="single"/>
                </w:rPr>
                <w:t xml:space="preserve">Fondazione per la </w:t>
              </w:r>
              <w:proofErr w:type="spellStart"/>
              <w:r w:rsidR="009E6F90">
                <w:rPr>
                  <w:color w:val="000080"/>
                  <w:u w:val="single"/>
                </w:rPr>
                <w:t>Ricerca</w:t>
              </w:r>
              <w:proofErr w:type="spellEnd"/>
              <w:r w:rsidR="009E6F90">
                <w:rPr>
                  <w:color w:val="000080"/>
                  <w:u w:val="single"/>
                </w:rPr>
                <w:t xml:space="preserve"> Sulla </w:t>
              </w:r>
              <w:proofErr w:type="spellStart"/>
              <w:r w:rsidR="009E6F90">
                <w:rPr>
                  <w:color w:val="000080"/>
                  <w:u w:val="single"/>
                </w:rPr>
                <w:t>Fibrosi</w:t>
              </w:r>
              <w:proofErr w:type="spellEnd"/>
              <w:r w:rsidR="009E6F90">
                <w:rPr>
                  <w:color w:val="000080"/>
                  <w:u w:val="single"/>
                </w:rPr>
                <w:t xml:space="preserve"> </w:t>
              </w:r>
              <w:proofErr w:type="spellStart"/>
              <w:r w:rsidR="009E6F90">
                <w:rPr>
                  <w:color w:val="000080"/>
                  <w:u w:val="single"/>
                </w:rPr>
                <w:t>Cistica</w:t>
              </w:r>
              <w:proofErr w:type="spellEnd"/>
              <w:r w:rsidR="009E6F90">
                <w:rPr>
                  <w:color w:val="000080"/>
                  <w:u w:val="single"/>
                </w:rPr>
                <w:t xml:space="preserve"> (FFC) | Italian Cystic Fibrosis Research Foundation</w:t>
              </w:r>
            </w:hyperlink>
          </w:p>
        </w:tc>
      </w:tr>
      <w:tr w:rsidR="009E6F90" w14:paraId="366CD6F8" w14:textId="77777777" w:rsidTr="00485DF9">
        <w:tc>
          <w:tcPr>
            <w:tcW w:w="0" w:type="auto"/>
          </w:tcPr>
          <w:p w14:paraId="2C09C41A"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059"/>
              <w:gridCol w:w="2587"/>
              <w:gridCol w:w="968"/>
            </w:tblGrid>
            <w:tr w:rsidR="009E6F90" w14:paraId="73D6F4A2" w14:textId="77777777" w:rsidTr="00485DF9">
              <w:tc>
                <w:tcPr>
                  <w:tcW w:w="0" w:type="auto"/>
                </w:tcPr>
                <w:p w14:paraId="0DB4F383" w14:textId="77777777" w:rsidR="009E6F90" w:rsidRDefault="009E6F90" w:rsidP="00485DF9">
                  <w:r>
                    <w:rPr>
                      <w:b/>
                    </w:rPr>
                    <w:t>Date</w:t>
                  </w:r>
                </w:p>
              </w:tc>
              <w:tc>
                <w:tcPr>
                  <w:tcW w:w="0" w:type="auto"/>
                </w:tcPr>
                <w:p w14:paraId="71EEA8CD" w14:textId="77777777" w:rsidR="009E6F90" w:rsidRDefault="009E6F90" w:rsidP="00485DF9">
                  <w:r>
                    <w:rPr>
                      <w:b/>
                    </w:rPr>
                    <w:t>What's due</w:t>
                  </w:r>
                </w:p>
              </w:tc>
              <w:tc>
                <w:tcPr>
                  <w:tcW w:w="0" w:type="auto"/>
                </w:tcPr>
                <w:p w14:paraId="6BCEB3DC" w14:textId="77777777" w:rsidR="009E6F90" w:rsidRDefault="009E6F90" w:rsidP="00485DF9">
                  <w:r>
                    <w:rPr>
                      <w:b/>
                    </w:rPr>
                    <w:t>Notes</w:t>
                  </w:r>
                </w:p>
              </w:tc>
            </w:tr>
            <w:tr w:rsidR="009E6F90" w14:paraId="791D6A41" w14:textId="77777777" w:rsidTr="00485DF9">
              <w:tc>
                <w:tcPr>
                  <w:tcW w:w="0" w:type="auto"/>
                </w:tcPr>
                <w:p w14:paraId="1873D27B" w14:textId="77777777" w:rsidR="009E6F90" w:rsidRDefault="009E6F90" w:rsidP="00485DF9">
                  <w:r>
                    <w:t>15 Feb 2024 - Confirmed / sponsor</w:t>
                  </w:r>
                </w:p>
              </w:tc>
              <w:tc>
                <w:tcPr>
                  <w:tcW w:w="0" w:type="auto"/>
                </w:tcPr>
                <w:p w14:paraId="2E5E7441" w14:textId="77777777" w:rsidR="009E6F90" w:rsidRDefault="009E6F90" w:rsidP="00485DF9">
                  <w:r>
                    <w:t>Application - required</w:t>
                  </w:r>
                </w:p>
              </w:tc>
              <w:tc>
                <w:tcPr>
                  <w:tcW w:w="0" w:type="auto"/>
                </w:tcPr>
                <w:p w14:paraId="789EA499" w14:textId="77777777" w:rsidR="009E6F90" w:rsidRDefault="009E6F90" w:rsidP="00485DF9"/>
              </w:tc>
            </w:tr>
          </w:tbl>
          <w:p w14:paraId="7882365F" w14:textId="77777777" w:rsidR="009E6F90" w:rsidRDefault="009E6F90" w:rsidP="00485DF9"/>
        </w:tc>
      </w:tr>
      <w:tr w:rsidR="009E6F90" w14:paraId="136038EE" w14:textId="77777777" w:rsidTr="00485DF9">
        <w:tc>
          <w:tcPr>
            <w:tcW w:w="0" w:type="auto"/>
          </w:tcPr>
          <w:p w14:paraId="087FB6B2" w14:textId="77777777" w:rsidR="009E6F90" w:rsidRDefault="009E6F90" w:rsidP="00485DF9">
            <w:r>
              <w:t>Amount</w:t>
            </w:r>
          </w:p>
        </w:tc>
        <w:tc>
          <w:tcPr>
            <w:tcW w:w="0" w:type="auto"/>
          </w:tcPr>
          <w:p w14:paraId="269092E6" w14:textId="77777777" w:rsidR="009E6F90" w:rsidRDefault="009E6F90" w:rsidP="00485DF9">
            <w:r>
              <w:rPr>
                <w:b/>
              </w:rPr>
              <w:t>Upper: €130,000 EUR</w:t>
            </w:r>
          </w:p>
        </w:tc>
      </w:tr>
      <w:tr w:rsidR="009E6F90" w14:paraId="2194CF61" w14:textId="77777777" w:rsidTr="00485DF9">
        <w:tc>
          <w:tcPr>
            <w:tcW w:w="0" w:type="auto"/>
          </w:tcPr>
          <w:p w14:paraId="6D74BEDA" w14:textId="77777777" w:rsidR="009E6F90" w:rsidRDefault="009E6F90" w:rsidP="00485DF9">
            <w:r>
              <w:t>Eligibility</w:t>
            </w:r>
          </w:p>
        </w:tc>
        <w:tc>
          <w:tcPr>
            <w:tcW w:w="0" w:type="auto"/>
          </w:tcPr>
          <w:p w14:paraId="32CA9A78" w14:textId="77777777" w:rsidR="009E6F90" w:rsidRDefault="009E6F90" w:rsidP="00485DF9">
            <w:r>
              <w:t xml:space="preserve">Scientists with proven scientific independence and at least three experimental or clinical papers published in the last five years may apply. PIs must have a permanent position and reside in Italy. If PIs and </w:t>
            </w:r>
            <w:proofErr w:type="spellStart"/>
            <w:r>
              <w:t>multicentre</w:t>
            </w:r>
            <w:proofErr w:type="spellEnd"/>
            <w:r>
              <w:t xml:space="preserve"> project </w:t>
            </w:r>
            <w:proofErr w:type="spellStart"/>
            <w:r>
              <w:t>co-ordinators</w:t>
            </w:r>
            <w:proofErr w:type="spellEnd"/>
            <w:r>
              <w:t xml:space="preserve"> live and work in another European country, at least one partner in the project must be resident and work in Italy.</w:t>
            </w:r>
          </w:p>
        </w:tc>
      </w:tr>
      <w:tr w:rsidR="009E6F90" w14:paraId="2BFA0E43" w14:textId="77777777" w:rsidTr="00485DF9">
        <w:tc>
          <w:tcPr>
            <w:tcW w:w="0" w:type="auto"/>
          </w:tcPr>
          <w:p w14:paraId="64E47149" w14:textId="77777777" w:rsidR="009E6F90" w:rsidRDefault="009E6F90" w:rsidP="00485DF9">
            <w:r>
              <w:t>Abstract</w:t>
            </w:r>
          </w:p>
        </w:tc>
        <w:tc>
          <w:tcPr>
            <w:tcW w:w="0" w:type="auto"/>
          </w:tcPr>
          <w:p w14:paraId="2ADAEE70" w14:textId="77777777" w:rsidR="009E6F90" w:rsidRDefault="009E6F90" w:rsidP="00485DF9">
            <w:r>
              <w:t>The Italian Cystic Fibrosis Research Foundation invites applications for its research grant. This supports research projects aiming to improve the health status of cystic fibrosis patients. Research projects dealing with either clinical studies or pre-clinical studies exploiting animal models of CF are strongly encouraged. Priority areas include:</w:t>
            </w:r>
            <w:r>
              <w:br/>
              <w:t>•innovative therapies to correct defective CFTR or to compensate for its deficient function;</w:t>
            </w:r>
            <w:r>
              <w:br/>
              <w:t xml:space="preserve">•identification and validation of new and appropriate in vivo and ex vivo assays to predict and monitor the potential efficacy of new therapies </w:t>
            </w:r>
            <w:proofErr w:type="spellStart"/>
            <w:r>
              <w:t>finalised</w:t>
            </w:r>
            <w:proofErr w:type="spellEnd"/>
            <w:r>
              <w:t xml:space="preserve"> to correct the CFTR defect;</w:t>
            </w:r>
            <w:r>
              <w:br/>
              <w:t>•airway infection in CF - development of innovative diagnostic and antimicrobial strategies with special indication for the rapid and accurate diagnosis of infections and the treatment of difficult-to-treat microorganisms;</w:t>
            </w:r>
            <w:r>
              <w:br/>
              <w:t>•inflammation in CF - innovative strategies to contain the inflammation-based pathology;</w:t>
            </w:r>
            <w:r>
              <w:br/>
              <w:t>•clinical applications and epidemiological studies.</w:t>
            </w:r>
            <w:r>
              <w:br/>
            </w:r>
            <w:r>
              <w:br/>
              <w:t xml:space="preserve">Scientists with proven scientific independence and at least three experimental or clinical papers published in the last five years may apply. PIs must have a permanent position. If PIs and </w:t>
            </w:r>
            <w:proofErr w:type="spellStart"/>
            <w:r>
              <w:t>multicentre</w:t>
            </w:r>
            <w:proofErr w:type="spellEnd"/>
            <w:r>
              <w:t xml:space="preserve"> project </w:t>
            </w:r>
            <w:proofErr w:type="spellStart"/>
            <w:r>
              <w:t>co-ordinators</w:t>
            </w:r>
            <w:proofErr w:type="spellEnd"/>
            <w:r>
              <w:t xml:space="preserve"> live and work in another European country, at least one partner in the project must be resident and work in Italy.</w:t>
            </w:r>
            <w:r>
              <w:br/>
            </w:r>
            <w:r>
              <w:br/>
              <w:t>Grants are worth up to €130,000 for two-year projects or €70,000 for one year.</w:t>
            </w:r>
          </w:p>
        </w:tc>
      </w:tr>
      <w:tr w:rsidR="009E6F90" w14:paraId="5CA74275" w14:textId="77777777" w:rsidTr="00485DF9">
        <w:tc>
          <w:tcPr>
            <w:tcW w:w="0" w:type="auto"/>
          </w:tcPr>
          <w:p w14:paraId="3301F66F" w14:textId="77777777" w:rsidR="009E6F90" w:rsidRDefault="009E6F90" w:rsidP="00485DF9">
            <w:r>
              <w:t>Website</w:t>
            </w:r>
          </w:p>
        </w:tc>
        <w:tc>
          <w:tcPr>
            <w:tcW w:w="0" w:type="auto"/>
          </w:tcPr>
          <w:p w14:paraId="6D57CED9" w14:textId="77777777" w:rsidR="009E6F90" w:rsidRDefault="00000000" w:rsidP="00485DF9">
            <w:hyperlink r:id="rId33">
              <w:r w:rsidR="009E6F90">
                <w:rPr>
                  <w:color w:val="000080"/>
                  <w:u w:val="single"/>
                </w:rPr>
                <w:t>http://www.fibrosicisticaricerca.it/area-ricercatori/</w:t>
              </w:r>
            </w:hyperlink>
          </w:p>
        </w:tc>
      </w:tr>
      <w:tr w:rsidR="009E6F90" w14:paraId="38CCC9D6" w14:textId="77777777" w:rsidTr="00485DF9">
        <w:tc>
          <w:tcPr>
            <w:tcW w:w="0" w:type="auto"/>
            <w:gridSpan w:val="2"/>
          </w:tcPr>
          <w:p w14:paraId="76D086B5" w14:textId="77777777" w:rsidR="009E6F90" w:rsidRDefault="00000000" w:rsidP="00485DF9">
            <w:hyperlink r:id="rId34">
              <w:r w:rsidR="009E6F90">
                <w:rPr>
                  <w:color w:val="000080"/>
                  <w:sz w:val="22"/>
                  <w:u w:val="single"/>
                </w:rPr>
                <w:t>Research grants</w:t>
              </w:r>
            </w:hyperlink>
          </w:p>
        </w:tc>
      </w:tr>
      <w:tr w:rsidR="009E6F90" w14:paraId="7A9E6E3B" w14:textId="77777777" w:rsidTr="00485DF9">
        <w:tc>
          <w:tcPr>
            <w:tcW w:w="0" w:type="auto"/>
          </w:tcPr>
          <w:p w14:paraId="2367E8CA" w14:textId="77777777" w:rsidR="009E6F90" w:rsidRDefault="009E6F90" w:rsidP="00485DF9">
            <w:r>
              <w:t>Funder</w:t>
            </w:r>
          </w:p>
        </w:tc>
        <w:tc>
          <w:tcPr>
            <w:tcW w:w="0" w:type="auto"/>
          </w:tcPr>
          <w:p w14:paraId="645A6340" w14:textId="77777777" w:rsidR="009E6F90" w:rsidRDefault="00000000" w:rsidP="00485DF9">
            <w:hyperlink r:id="rId35">
              <w:r w:rsidR="009E6F90">
                <w:rPr>
                  <w:color w:val="000080"/>
                  <w:u w:val="single"/>
                </w:rPr>
                <w:t>GBS CIDP Foundation International</w:t>
              </w:r>
            </w:hyperlink>
          </w:p>
        </w:tc>
      </w:tr>
      <w:tr w:rsidR="009E6F90" w14:paraId="600B765A" w14:textId="77777777" w:rsidTr="00485DF9">
        <w:tc>
          <w:tcPr>
            <w:tcW w:w="0" w:type="auto"/>
          </w:tcPr>
          <w:p w14:paraId="2AF7C16D"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910"/>
              <w:gridCol w:w="2793"/>
              <w:gridCol w:w="911"/>
            </w:tblGrid>
            <w:tr w:rsidR="009E6F90" w14:paraId="7DDC645D" w14:textId="77777777" w:rsidTr="00485DF9">
              <w:tc>
                <w:tcPr>
                  <w:tcW w:w="0" w:type="auto"/>
                </w:tcPr>
                <w:p w14:paraId="7DC42CF7" w14:textId="77777777" w:rsidR="009E6F90" w:rsidRDefault="009E6F90" w:rsidP="00485DF9">
                  <w:r>
                    <w:rPr>
                      <w:b/>
                    </w:rPr>
                    <w:t>Date</w:t>
                  </w:r>
                </w:p>
              </w:tc>
              <w:tc>
                <w:tcPr>
                  <w:tcW w:w="0" w:type="auto"/>
                </w:tcPr>
                <w:p w14:paraId="69FDECAD" w14:textId="77777777" w:rsidR="009E6F90" w:rsidRDefault="009E6F90" w:rsidP="00485DF9">
                  <w:r>
                    <w:rPr>
                      <w:b/>
                    </w:rPr>
                    <w:t>What's due</w:t>
                  </w:r>
                </w:p>
              </w:tc>
              <w:tc>
                <w:tcPr>
                  <w:tcW w:w="0" w:type="auto"/>
                </w:tcPr>
                <w:p w14:paraId="4D6D86E2" w14:textId="77777777" w:rsidR="009E6F90" w:rsidRDefault="009E6F90" w:rsidP="00485DF9">
                  <w:r>
                    <w:rPr>
                      <w:b/>
                    </w:rPr>
                    <w:t>Notes</w:t>
                  </w:r>
                </w:p>
              </w:tc>
            </w:tr>
            <w:tr w:rsidR="009E6F90" w14:paraId="3FFC3E98" w14:textId="77777777" w:rsidTr="00485DF9">
              <w:tc>
                <w:tcPr>
                  <w:tcW w:w="0" w:type="auto"/>
                </w:tcPr>
                <w:p w14:paraId="0B0342F1" w14:textId="77777777" w:rsidR="009E6F90" w:rsidRDefault="009E6F90" w:rsidP="00485DF9">
                  <w:r>
                    <w:t>01 Nov 2023 - Anticipated / sponsor</w:t>
                  </w:r>
                </w:p>
              </w:tc>
              <w:tc>
                <w:tcPr>
                  <w:tcW w:w="0" w:type="auto"/>
                </w:tcPr>
                <w:p w14:paraId="172BD478" w14:textId="77777777" w:rsidR="009E6F90" w:rsidRDefault="009E6F90" w:rsidP="00485DF9">
                  <w:r>
                    <w:t>Letter of Intent - required</w:t>
                  </w:r>
                </w:p>
              </w:tc>
              <w:tc>
                <w:tcPr>
                  <w:tcW w:w="0" w:type="auto"/>
                </w:tcPr>
                <w:p w14:paraId="0782CCEC" w14:textId="77777777" w:rsidR="009E6F90" w:rsidRDefault="009E6F90" w:rsidP="00485DF9"/>
              </w:tc>
            </w:tr>
            <w:tr w:rsidR="009E6F90" w14:paraId="26E91F65" w14:textId="77777777" w:rsidTr="00485DF9">
              <w:tc>
                <w:tcPr>
                  <w:tcW w:w="0" w:type="auto"/>
                </w:tcPr>
                <w:p w14:paraId="4AFA2449" w14:textId="77777777" w:rsidR="009E6F90" w:rsidRDefault="009E6F90" w:rsidP="00485DF9">
                  <w:r>
                    <w:t>31 Jan 2024 - Anticipated / sponsor</w:t>
                  </w:r>
                </w:p>
              </w:tc>
              <w:tc>
                <w:tcPr>
                  <w:tcW w:w="0" w:type="auto"/>
                </w:tcPr>
                <w:p w14:paraId="794EE0E7" w14:textId="77777777" w:rsidR="009E6F90" w:rsidRDefault="009E6F90" w:rsidP="00485DF9">
                  <w:r>
                    <w:t>Application - required</w:t>
                  </w:r>
                </w:p>
              </w:tc>
              <w:tc>
                <w:tcPr>
                  <w:tcW w:w="0" w:type="auto"/>
                </w:tcPr>
                <w:p w14:paraId="6216FCB2" w14:textId="77777777" w:rsidR="009E6F90" w:rsidRDefault="009E6F90" w:rsidP="00485DF9"/>
              </w:tc>
            </w:tr>
          </w:tbl>
          <w:p w14:paraId="58661A4A" w14:textId="77777777" w:rsidR="009E6F90" w:rsidRDefault="009E6F90" w:rsidP="00485DF9"/>
        </w:tc>
      </w:tr>
      <w:tr w:rsidR="009E6F90" w14:paraId="7294C168" w14:textId="77777777" w:rsidTr="00485DF9">
        <w:tc>
          <w:tcPr>
            <w:tcW w:w="0" w:type="auto"/>
          </w:tcPr>
          <w:p w14:paraId="32C842FF" w14:textId="77777777" w:rsidR="009E6F90" w:rsidRDefault="009E6F90" w:rsidP="00485DF9">
            <w:r>
              <w:t>Amount</w:t>
            </w:r>
          </w:p>
        </w:tc>
        <w:tc>
          <w:tcPr>
            <w:tcW w:w="0" w:type="auto"/>
          </w:tcPr>
          <w:p w14:paraId="47BF047B" w14:textId="77777777" w:rsidR="009E6F90" w:rsidRDefault="009E6F90" w:rsidP="00485DF9">
            <w:r>
              <w:rPr>
                <w:b/>
              </w:rPr>
              <w:t>Upper: $60,000 USD</w:t>
            </w:r>
          </w:p>
          <w:p w14:paraId="061BC658" w14:textId="77777777" w:rsidR="009E6F90" w:rsidRDefault="009E6F90" w:rsidP="00485DF9">
            <w:r>
              <w:t>Multiple grants worth up to USD 60,000 over one year are available.</w:t>
            </w:r>
          </w:p>
        </w:tc>
      </w:tr>
      <w:tr w:rsidR="009E6F90" w14:paraId="0DE15770" w14:textId="77777777" w:rsidTr="00485DF9">
        <w:tc>
          <w:tcPr>
            <w:tcW w:w="0" w:type="auto"/>
          </w:tcPr>
          <w:p w14:paraId="4FCCAFC3" w14:textId="77777777" w:rsidR="009E6F90" w:rsidRDefault="009E6F90" w:rsidP="00485DF9">
            <w:r>
              <w:t>Eligibility</w:t>
            </w:r>
          </w:p>
        </w:tc>
        <w:tc>
          <w:tcPr>
            <w:tcW w:w="0" w:type="auto"/>
          </w:tcPr>
          <w:p w14:paraId="7A7FA4C7" w14:textId="77777777" w:rsidR="009E6F90" w:rsidRDefault="009E6F90" w:rsidP="00485DF9">
            <w:r>
              <w:t>The foundation encourages all interested parties to submit applications, including international applicants.</w:t>
            </w:r>
          </w:p>
        </w:tc>
      </w:tr>
      <w:tr w:rsidR="009E6F90" w14:paraId="67F64F1B" w14:textId="77777777" w:rsidTr="00485DF9">
        <w:tc>
          <w:tcPr>
            <w:tcW w:w="0" w:type="auto"/>
          </w:tcPr>
          <w:p w14:paraId="18E421F5" w14:textId="77777777" w:rsidR="009E6F90" w:rsidRDefault="009E6F90" w:rsidP="00485DF9">
            <w:r>
              <w:t>Abstract</w:t>
            </w:r>
          </w:p>
        </w:tc>
        <w:tc>
          <w:tcPr>
            <w:tcW w:w="0" w:type="auto"/>
          </w:tcPr>
          <w:p w14:paraId="02F76550" w14:textId="77777777" w:rsidR="009E6F90" w:rsidRDefault="009E6F90" w:rsidP="00485DF9">
            <w:r>
              <w:t>GBS/CIDP Foundation International invites letters of intent for its research grants. These support researchers who are committed to learning more about Guillain-Barre syndrome, chronic inflammatory demyelinating polyneuropathy and variants.</w:t>
            </w:r>
          </w:p>
        </w:tc>
      </w:tr>
      <w:tr w:rsidR="009E6F90" w14:paraId="0F0C59DD" w14:textId="77777777" w:rsidTr="00485DF9">
        <w:tc>
          <w:tcPr>
            <w:tcW w:w="0" w:type="auto"/>
          </w:tcPr>
          <w:p w14:paraId="6F459C9E" w14:textId="77777777" w:rsidR="009E6F90" w:rsidRDefault="009E6F90" w:rsidP="00485DF9">
            <w:r>
              <w:t>Website</w:t>
            </w:r>
          </w:p>
        </w:tc>
        <w:tc>
          <w:tcPr>
            <w:tcW w:w="0" w:type="auto"/>
          </w:tcPr>
          <w:p w14:paraId="5C965A20" w14:textId="77777777" w:rsidR="009E6F90" w:rsidRDefault="00000000" w:rsidP="00485DF9">
            <w:hyperlink r:id="rId36">
              <w:r w:rsidR="009E6F90">
                <w:rPr>
                  <w:color w:val="000080"/>
                  <w:u w:val="single"/>
                </w:rPr>
                <w:t>https://www.gbs-cidp.org/research/</w:t>
              </w:r>
            </w:hyperlink>
          </w:p>
        </w:tc>
      </w:tr>
    </w:tbl>
    <w:p w14:paraId="1CCC897B" w14:textId="77777777" w:rsidR="009E6F90" w:rsidRDefault="009E6F90"/>
    <w:tbl>
      <w:tblPr>
        <w:tblW w:w="5000" w:type="pct"/>
        <w:tblCellMar>
          <w:top w:w="108" w:type="dxa"/>
        </w:tblCellMar>
        <w:tblLook w:val="0600" w:firstRow="0" w:lastRow="0" w:firstColumn="0" w:lastColumn="0" w:noHBand="1" w:noVBand="1"/>
      </w:tblPr>
      <w:tblGrid>
        <w:gridCol w:w="1151"/>
        <w:gridCol w:w="7875"/>
      </w:tblGrid>
      <w:tr w:rsidR="009E6F90" w14:paraId="0D7EF6F2" w14:textId="77777777" w:rsidTr="00485DF9">
        <w:tc>
          <w:tcPr>
            <w:tcW w:w="0" w:type="auto"/>
            <w:gridSpan w:val="2"/>
          </w:tcPr>
          <w:p w14:paraId="240C78B1" w14:textId="77777777" w:rsidR="009E6F90" w:rsidRDefault="00000000" w:rsidP="00485DF9">
            <w:hyperlink r:id="rId37">
              <w:r w:rsidR="009E6F90">
                <w:rPr>
                  <w:color w:val="000080"/>
                  <w:sz w:val="22"/>
                  <w:u w:val="single"/>
                </w:rPr>
                <w:t>Ancillary Studies to the NIDDK Inflammatory Bowel Disease Genetics Consortium (R01 Clinical Trial Not Allowed)</w:t>
              </w:r>
            </w:hyperlink>
          </w:p>
        </w:tc>
      </w:tr>
      <w:tr w:rsidR="009E6F90" w14:paraId="103E814B" w14:textId="77777777" w:rsidTr="00485DF9">
        <w:tc>
          <w:tcPr>
            <w:tcW w:w="0" w:type="auto"/>
          </w:tcPr>
          <w:p w14:paraId="5AD450D1" w14:textId="77777777" w:rsidR="009E6F90" w:rsidRDefault="009E6F90" w:rsidP="00485DF9">
            <w:r>
              <w:t>Funder</w:t>
            </w:r>
          </w:p>
        </w:tc>
        <w:tc>
          <w:tcPr>
            <w:tcW w:w="0" w:type="auto"/>
          </w:tcPr>
          <w:p w14:paraId="1E2D56E4" w14:textId="77777777" w:rsidR="009E6F90" w:rsidRDefault="00000000" w:rsidP="00485DF9">
            <w:hyperlink r:id="rId38">
              <w:r w:rsidR="009E6F90">
                <w:rPr>
                  <w:color w:val="000080"/>
                  <w:u w:val="single"/>
                </w:rPr>
                <w:t>National Institute of Diabetes and Digestive and Kidney Diseases (NIDDK)</w:t>
              </w:r>
            </w:hyperlink>
          </w:p>
          <w:p w14:paraId="4C6B310F" w14:textId="77777777" w:rsidR="009E6F90" w:rsidRDefault="00000000" w:rsidP="00485DF9">
            <w:hyperlink r:id="rId39">
              <w:r w:rsidR="009E6F90">
                <w:rPr>
                  <w:color w:val="000080"/>
                  <w:u w:val="single"/>
                </w:rPr>
                <w:t>National Institutes of Health (NIH)</w:t>
              </w:r>
            </w:hyperlink>
          </w:p>
          <w:p w14:paraId="4745EA2F" w14:textId="77777777" w:rsidR="009E6F90" w:rsidRDefault="00000000" w:rsidP="00485DF9">
            <w:hyperlink r:id="rId40">
              <w:r w:rsidR="009E6F90">
                <w:rPr>
                  <w:color w:val="000080"/>
                  <w:u w:val="single"/>
                </w:rPr>
                <w:t>United States Department of Health and Human Services (HHS)</w:t>
              </w:r>
            </w:hyperlink>
          </w:p>
          <w:p w14:paraId="6035EFD4" w14:textId="77777777" w:rsidR="009E6F90" w:rsidRDefault="009E6F90" w:rsidP="00485DF9">
            <w:r>
              <w:t>Funder's opportunity ID: RFA-DK-22-023</w:t>
            </w:r>
          </w:p>
        </w:tc>
      </w:tr>
      <w:tr w:rsidR="009E6F90" w14:paraId="2EEBF69C" w14:textId="77777777" w:rsidTr="00485DF9">
        <w:tc>
          <w:tcPr>
            <w:tcW w:w="0" w:type="auto"/>
          </w:tcPr>
          <w:p w14:paraId="48F2D597"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457"/>
              <w:gridCol w:w="2196"/>
              <w:gridCol w:w="1990"/>
            </w:tblGrid>
            <w:tr w:rsidR="009E6F90" w14:paraId="02EC077B" w14:textId="77777777" w:rsidTr="00485DF9">
              <w:tc>
                <w:tcPr>
                  <w:tcW w:w="0" w:type="auto"/>
                </w:tcPr>
                <w:p w14:paraId="26F8D64D" w14:textId="77777777" w:rsidR="009E6F90" w:rsidRDefault="009E6F90" w:rsidP="00485DF9">
                  <w:r>
                    <w:rPr>
                      <w:b/>
                    </w:rPr>
                    <w:t>Date</w:t>
                  </w:r>
                </w:p>
              </w:tc>
              <w:tc>
                <w:tcPr>
                  <w:tcW w:w="0" w:type="auto"/>
                </w:tcPr>
                <w:p w14:paraId="334216A6" w14:textId="77777777" w:rsidR="009E6F90" w:rsidRDefault="009E6F90" w:rsidP="00485DF9">
                  <w:r>
                    <w:rPr>
                      <w:b/>
                    </w:rPr>
                    <w:t>What's due</w:t>
                  </w:r>
                </w:p>
              </w:tc>
              <w:tc>
                <w:tcPr>
                  <w:tcW w:w="0" w:type="auto"/>
                </w:tcPr>
                <w:p w14:paraId="096BAD82" w14:textId="77777777" w:rsidR="009E6F90" w:rsidRDefault="009E6F90" w:rsidP="00485DF9">
                  <w:r>
                    <w:rPr>
                      <w:b/>
                    </w:rPr>
                    <w:t>Notes</w:t>
                  </w:r>
                </w:p>
              </w:tc>
            </w:tr>
            <w:tr w:rsidR="009E6F90" w14:paraId="1A2FF6D8" w14:textId="77777777" w:rsidTr="00485DF9">
              <w:tc>
                <w:tcPr>
                  <w:tcW w:w="0" w:type="auto"/>
                </w:tcPr>
                <w:p w14:paraId="33E7B674" w14:textId="77777777" w:rsidR="009E6F90" w:rsidRDefault="009E6F90" w:rsidP="00485DF9">
                  <w:r>
                    <w:t>08 Nov 2023 - Confirmed / sponsor</w:t>
                  </w:r>
                </w:p>
              </w:tc>
              <w:tc>
                <w:tcPr>
                  <w:tcW w:w="0" w:type="auto"/>
                </w:tcPr>
                <w:p w14:paraId="5B4F3F88" w14:textId="77777777" w:rsidR="009E6F90" w:rsidRDefault="009E6F90" w:rsidP="00485DF9">
                  <w:r>
                    <w:t>Application - required</w:t>
                  </w:r>
                </w:p>
              </w:tc>
              <w:tc>
                <w:tcPr>
                  <w:tcW w:w="0" w:type="auto"/>
                </w:tcPr>
                <w:p w14:paraId="0A452884" w14:textId="77777777" w:rsidR="009E6F90" w:rsidRDefault="009E6F90" w:rsidP="00485DF9">
                  <w:r>
                    <w:t>New, resubmission</w:t>
                  </w:r>
                </w:p>
              </w:tc>
            </w:tr>
          </w:tbl>
          <w:p w14:paraId="3D1D7A5C" w14:textId="77777777" w:rsidR="009E6F90" w:rsidRDefault="009E6F90" w:rsidP="00485DF9"/>
        </w:tc>
      </w:tr>
      <w:tr w:rsidR="009E6F90" w14:paraId="1DFC0190" w14:textId="77777777" w:rsidTr="00485DF9">
        <w:tc>
          <w:tcPr>
            <w:tcW w:w="0" w:type="auto"/>
          </w:tcPr>
          <w:p w14:paraId="2D609AAF" w14:textId="77777777" w:rsidR="009E6F90" w:rsidRDefault="009E6F90" w:rsidP="00485DF9">
            <w:r>
              <w:t>Deadline Note</w:t>
            </w:r>
          </w:p>
        </w:tc>
        <w:tc>
          <w:tcPr>
            <w:tcW w:w="0" w:type="auto"/>
          </w:tcPr>
          <w:p w14:paraId="6E1B0782" w14:textId="77777777" w:rsidR="009E6F90" w:rsidRDefault="009E6F90" w:rsidP="00485DF9">
            <w:r>
              <w:t>Optional Letter of Intent due 30 days before application due date</w:t>
            </w:r>
            <w:r>
              <w:br/>
              <w:t xml:space="preserve"> All applications are due by 5:00 PM local time of applicant organization.</w:t>
            </w:r>
          </w:p>
        </w:tc>
      </w:tr>
      <w:tr w:rsidR="009E6F90" w14:paraId="4BF5C25A" w14:textId="77777777" w:rsidTr="00485DF9">
        <w:tc>
          <w:tcPr>
            <w:tcW w:w="0" w:type="auto"/>
          </w:tcPr>
          <w:p w14:paraId="67D4A430" w14:textId="77777777" w:rsidR="009E6F90" w:rsidRDefault="009E6F90" w:rsidP="00485DF9">
            <w:r>
              <w:t>Amount</w:t>
            </w:r>
          </w:p>
        </w:tc>
        <w:tc>
          <w:tcPr>
            <w:tcW w:w="0" w:type="auto"/>
          </w:tcPr>
          <w:p w14:paraId="63ABAC16" w14:textId="77777777" w:rsidR="009E6F90" w:rsidRDefault="009E6F90" w:rsidP="00485DF9">
            <w:r>
              <w:t>NIDDK intends to commit $3,300,000 in FY 2024 to fund up to 7 awards.</w:t>
            </w:r>
            <w:r>
              <w:br/>
              <w:t xml:space="preserve"> Application budgets are limited to $300,000 direct costs per year. The maximum project period is 4 years for applications submitted to the first due date (March 09, 2023), and 3 years for applications submitted to the second due date (November 08, 2023).</w:t>
            </w:r>
          </w:p>
        </w:tc>
      </w:tr>
      <w:tr w:rsidR="009E6F90" w14:paraId="2E56C4C3" w14:textId="77777777" w:rsidTr="00485DF9">
        <w:tc>
          <w:tcPr>
            <w:tcW w:w="0" w:type="auto"/>
          </w:tcPr>
          <w:p w14:paraId="2E2DC1ED" w14:textId="77777777" w:rsidR="009E6F90" w:rsidRDefault="009E6F90" w:rsidP="00485DF9">
            <w:r>
              <w:t>Abstract</w:t>
            </w:r>
          </w:p>
        </w:tc>
        <w:tc>
          <w:tcPr>
            <w:tcW w:w="0" w:type="auto"/>
          </w:tcPr>
          <w:p w14:paraId="2C7562A9" w14:textId="77777777" w:rsidR="009E6F90" w:rsidRDefault="009E6F90" w:rsidP="00485DF9">
            <w:r>
              <w:t xml:space="preserve">The NIDDK Inflammatory Bowel Disease Genetics Consortium (IBDGC), in collaboration with the International IBD Genetics Consortium, has identified over 250 susceptibility loci for inflammatory bowel disease (IBD). The IBDGC was renewed recently with a continued mission to characterize the genetic architecture of IBD phenotypes in diverse populations and to elucidate the biological mechanisms by which genetic variants influence IBD pathophysiology and clinical course. However, current resources permit functional investigation of only a limited number of loci, </w:t>
            </w:r>
            <w:proofErr w:type="gramStart"/>
            <w:r>
              <w:t>genes</w:t>
            </w:r>
            <w:proofErr w:type="gramEnd"/>
            <w:r>
              <w:t xml:space="preserve"> and physiological domains, while the biological mechanisms underlying most of the identified IBD risk loci remain unknown. The purpose of this Funding Opportunity Announcement (FOA) is to expand the number of IBD susceptibility loci, causal variants and effector genes, and IBD-related phenotypes and physiological domains under investigation via Ancillary Studies utilizing the extensive resources, including subjects, </w:t>
            </w:r>
            <w:proofErr w:type="gramStart"/>
            <w:r>
              <w:t>samples</w:t>
            </w:r>
            <w:proofErr w:type="gramEnd"/>
            <w:r>
              <w:t xml:space="preserve"> and datasets, established by the IBDGC. Proposed Ancillary Studies should focus on causal variant identification and/or functional characterization of effector genes within IBD risk loci and must not duplicate studies that are either ongoing or already completed by the IBDGC.</w:t>
            </w:r>
          </w:p>
        </w:tc>
      </w:tr>
      <w:tr w:rsidR="009E6F90" w14:paraId="2323A915" w14:textId="77777777" w:rsidTr="00485DF9">
        <w:tc>
          <w:tcPr>
            <w:tcW w:w="0" w:type="auto"/>
          </w:tcPr>
          <w:p w14:paraId="51C73EBC" w14:textId="77777777" w:rsidR="009E6F90" w:rsidRDefault="009E6F90" w:rsidP="00485DF9">
            <w:r>
              <w:t>Website</w:t>
            </w:r>
          </w:p>
        </w:tc>
        <w:tc>
          <w:tcPr>
            <w:tcW w:w="0" w:type="auto"/>
          </w:tcPr>
          <w:p w14:paraId="63BEA097" w14:textId="77777777" w:rsidR="009E6F90" w:rsidRDefault="00000000" w:rsidP="00485DF9">
            <w:hyperlink r:id="rId41">
              <w:r w:rsidR="009E6F90">
                <w:rPr>
                  <w:color w:val="000080"/>
                  <w:u w:val="single"/>
                </w:rPr>
                <w:t>https://grants.nih.gov/grants/guide/rfa-files/RFA-DK-22-023.html</w:t>
              </w:r>
            </w:hyperlink>
          </w:p>
        </w:tc>
      </w:tr>
    </w:tbl>
    <w:p w14:paraId="2B95E7CC" w14:textId="77777777" w:rsidR="009E6F90" w:rsidRDefault="009E6F90"/>
    <w:tbl>
      <w:tblPr>
        <w:tblW w:w="5000" w:type="pct"/>
        <w:tblCellMar>
          <w:top w:w="108" w:type="dxa"/>
        </w:tblCellMar>
        <w:tblLook w:val="0600" w:firstRow="0" w:lastRow="0" w:firstColumn="0" w:lastColumn="0" w:noHBand="1" w:noVBand="1"/>
      </w:tblPr>
      <w:tblGrid>
        <w:gridCol w:w="1130"/>
        <w:gridCol w:w="7896"/>
      </w:tblGrid>
      <w:tr w:rsidR="009E6F90" w14:paraId="011A2F3A" w14:textId="77777777" w:rsidTr="00485DF9">
        <w:tc>
          <w:tcPr>
            <w:tcW w:w="0" w:type="auto"/>
            <w:gridSpan w:val="2"/>
          </w:tcPr>
          <w:p w14:paraId="5CFA1590" w14:textId="77777777" w:rsidR="009E6F90" w:rsidRDefault="00000000" w:rsidP="00485DF9">
            <w:hyperlink r:id="rId42">
              <w:r w:rsidR="009E6F90">
                <w:rPr>
                  <w:color w:val="000080"/>
                  <w:sz w:val="22"/>
                  <w:u w:val="single"/>
                </w:rPr>
                <w:t>Distinguished innovator grant</w:t>
              </w:r>
            </w:hyperlink>
          </w:p>
        </w:tc>
      </w:tr>
      <w:tr w:rsidR="009E6F90" w14:paraId="0C41219D" w14:textId="77777777" w:rsidTr="00485DF9">
        <w:tc>
          <w:tcPr>
            <w:tcW w:w="0" w:type="auto"/>
          </w:tcPr>
          <w:p w14:paraId="6492657D" w14:textId="77777777" w:rsidR="009E6F90" w:rsidRDefault="009E6F90" w:rsidP="00485DF9">
            <w:r>
              <w:t>Funder</w:t>
            </w:r>
          </w:p>
        </w:tc>
        <w:tc>
          <w:tcPr>
            <w:tcW w:w="0" w:type="auto"/>
          </w:tcPr>
          <w:p w14:paraId="5F4C46B3" w14:textId="77777777" w:rsidR="009E6F90" w:rsidRDefault="00000000" w:rsidP="00485DF9">
            <w:hyperlink r:id="rId43">
              <w:r w:rsidR="009E6F90">
                <w:rPr>
                  <w:color w:val="000080"/>
                  <w:u w:val="single"/>
                </w:rPr>
                <w:t xml:space="preserve">Novo Nordisk </w:t>
              </w:r>
              <w:proofErr w:type="spellStart"/>
              <w:r w:rsidR="009E6F90">
                <w:rPr>
                  <w:color w:val="000080"/>
                  <w:u w:val="single"/>
                </w:rPr>
                <w:t>Fonden</w:t>
              </w:r>
              <w:proofErr w:type="spellEnd"/>
              <w:r w:rsidR="009E6F90">
                <w:rPr>
                  <w:color w:val="000080"/>
                  <w:u w:val="single"/>
                </w:rPr>
                <w:t xml:space="preserve"> | Novo Nordisk Foundation</w:t>
              </w:r>
            </w:hyperlink>
          </w:p>
        </w:tc>
      </w:tr>
      <w:tr w:rsidR="009E6F90" w14:paraId="507565FD" w14:textId="77777777" w:rsidTr="00485DF9">
        <w:tc>
          <w:tcPr>
            <w:tcW w:w="0" w:type="auto"/>
          </w:tcPr>
          <w:p w14:paraId="39B33CAF" w14:textId="77777777" w:rsidR="009E6F90" w:rsidRDefault="009E6F90"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284"/>
              <w:gridCol w:w="1590"/>
              <w:gridCol w:w="3790"/>
            </w:tblGrid>
            <w:tr w:rsidR="009E6F90" w14:paraId="1A34621C" w14:textId="77777777" w:rsidTr="00485DF9">
              <w:tc>
                <w:tcPr>
                  <w:tcW w:w="0" w:type="auto"/>
                </w:tcPr>
                <w:p w14:paraId="2C2BC557" w14:textId="77777777" w:rsidR="009E6F90" w:rsidRDefault="009E6F90" w:rsidP="00485DF9">
                  <w:r>
                    <w:rPr>
                      <w:b/>
                    </w:rPr>
                    <w:t>Date</w:t>
                  </w:r>
                </w:p>
              </w:tc>
              <w:tc>
                <w:tcPr>
                  <w:tcW w:w="0" w:type="auto"/>
                </w:tcPr>
                <w:p w14:paraId="263E6430" w14:textId="77777777" w:rsidR="009E6F90" w:rsidRDefault="009E6F90" w:rsidP="00485DF9">
                  <w:r>
                    <w:rPr>
                      <w:b/>
                    </w:rPr>
                    <w:t>What's due</w:t>
                  </w:r>
                </w:p>
              </w:tc>
              <w:tc>
                <w:tcPr>
                  <w:tcW w:w="0" w:type="auto"/>
                </w:tcPr>
                <w:p w14:paraId="42964726" w14:textId="77777777" w:rsidR="009E6F90" w:rsidRDefault="009E6F90" w:rsidP="00485DF9">
                  <w:r>
                    <w:rPr>
                      <w:b/>
                    </w:rPr>
                    <w:t>Notes</w:t>
                  </w:r>
                </w:p>
              </w:tc>
            </w:tr>
            <w:tr w:rsidR="009E6F90" w14:paraId="292C25DD" w14:textId="77777777" w:rsidTr="00485DF9">
              <w:tc>
                <w:tcPr>
                  <w:tcW w:w="0" w:type="auto"/>
                </w:tcPr>
                <w:p w14:paraId="66A495D3" w14:textId="77777777" w:rsidR="009E6F90" w:rsidRDefault="009E6F90" w:rsidP="00485DF9">
                  <w:r>
                    <w:t>09 Mar 2024 - Anticipated / sponsor</w:t>
                  </w:r>
                </w:p>
              </w:tc>
              <w:tc>
                <w:tcPr>
                  <w:tcW w:w="0" w:type="auto"/>
                </w:tcPr>
                <w:p w14:paraId="5314AEB2" w14:textId="77777777" w:rsidR="009E6F90" w:rsidRDefault="009E6F90" w:rsidP="00485DF9">
                  <w:r>
                    <w:t>Application - required</w:t>
                  </w:r>
                </w:p>
              </w:tc>
              <w:tc>
                <w:tcPr>
                  <w:tcW w:w="0" w:type="auto"/>
                </w:tcPr>
                <w:p w14:paraId="5B7EC3D8" w14:textId="77777777" w:rsidR="009E6F90" w:rsidRDefault="009E6F90" w:rsidP="00485DF9">
                  <w:r>
                    <w:t xml:space="preserve">Applications are due between 9 </w:t>
                  </w:r>
                  <w:proofErr w:type="spellStart"/>
                  <w:r>
                    <w:t>Janduary</w:t>
                  </w:r>
                  <w:proofErr w:type="spellEnd"/>
                  <w:r>
                    <w:t xml:space="preserve"> and 2pm 9 March 2022. </w:t>
                  </w:r>
                </w:p>
              </w:tc>
            </w:tr>
          </w:tbl>
          <w:p w14:paraId="1DB55472" w14:textId="77777777" w:rsidR="009E6F90" w:rsidRDefault="009E6F90" w:rsidP="00485DF9"/>
        </w:tc>
      </w:tr>
      <w:tr w:rsidR="009E6F90" w14:paraId="6D52CFFA" w14:textId="77777777" w:rsidTr="00485DF9">
        <w:tc>
          <w:tcPr>
            <w:tcW w:w="0" w:type="auto"/>
          </w:tcPr>
          <w:p w14:paraId="42D68D2D" w14:textId="77777777" w:rsidR="009E6F90" w:rsidRDefault="009E6F90" w:rsidP="00485DF9">
            <w:r>
              <w:t>Amount</w:t>
            </w:r>
          </w:p>
        </w:tc>
        <w:tc>
          <w:tcPr>
            <w:tcW w:w="0" w:type="auto"/>
          </w:tcPr>
          <w:p w14:paraId="3BF2D143" w14:textId="77777777" w:rsidR="009E6F90" w:rsidRDefault="009E6F90" w:rsidP="00485DF9">
            <w:r>
              <w:rPr>
                <w:b/>
              </w:rPr>
              <w:t>Upper: 6,000,000 kr. DKK</w:t>
            </w:r>
          </w:p>
        </w:tc>
      </w:tr>
      <w:tr w:rsidR="009E6F90" w14:paraId="0861FE00" w14:textId="77777777" w:rsidTr="00485DF9">
        <w:tc>
          <w:tcPr>
            <w:tcW w:w="0" w:type="auto"/>
          </w:tcPr>
          <w:p w14:paraId="1D01A574" w14:textId="77777777" w:rsidR="009E6F90" w:rsidRDefault="009E6F90" w:rsidP="00485DF9">
            <w:r>
              <w:t>Abstract</w:t>
            </w:r>
          </w:p>
        </w:tc>
        <w:tc>
          <w:tcPr>
            <w:tcW w:w="0" w:type="auto"/>
          </w:tcPr>
          <w:p w14:paraId="633521E3" w14:textId="77777777" w:rsidR="009E6F90" w:rsidRDefault="009E6F90" w:rsidP="00485DF9">
            <w:r>
              <w:t>The Novo Nordisk Foundation invites applications for its distinguished innovator grant. This enables a researcher in the life sciences to explore the commercial potential of a discovery while remaining embedded in academia. The grant offers the resources to test and mature discoveries throughout a full innovation lifecycle which may lead to the development of new medical treatments or health technologies, disease prevention, diagnostic methods, industrial biotech, or devices to benefit people and society.</w:t>
            </w:r>
            <w:r>
              <w:br/>
            </w:r>
            <w:r>
              <w:br/>
              <w:t xml:space="preserve"> Applicants may be faculty members or senior researchers employed at research institutions or hospitals and clinics in Denmark, Sweden, </w:t>
            </w:r>
            <w:proofErr w:type="gramStart"/>
            <w:r>
              <w:t>Norway</w:t>
            </w:r>
            <w:proofErr w:type="gramEnd"/>
            <w:r>
              <w:t xml:space="preserve"> or Finland. They may also be based within the pharma, industrial biotech or </w:t>
            </w:r>
            <w:proofErr w:type="spellStart"/>
            <w:r>
              <w:t>medtech</w:t>
            </w:r>
            <w:proofErr w:type="spellEnd"/>
            <w:r>
              <w:t xml:space="preserve"> industries. Applicants must hold a research position and have a proven track record within innovation, such as previous experience of academic innovation projects or experience of establishing </w:t>
            </w:r>
            <w:proofErr w:type="gramStart"/>
            <w:r>
              <w:t>spin-outs</w:t>
            </w:r>
            <w:proofErr w:type="gramEnd"/>
            <w:r>
              <w:t xml:space="preserve"> from academia. The grant must be administrated by a non-profit organisation.</w:t>
            </w:r>
            <w:r>
              <w:br/>
            </w:r>
            <w:r>
              <w:br/>
              <w:t xml:space="preserve"> The total budget is worth DKK 84 million. Grants are worth up to DKK 6m over three years.</w:t>
            </w:r>
          </w:p>
        </w:tc>
      </w:tr>
      <w:tr w:rsidR="009E6F90" w14:paraId="53BA8201" w14:textId="77777777" w:rsidTr="00485DF9">
        <w:tc>
          <w:tcPr>
            <w:tcW w:w="0" w:type="auto"/>
          </w:tcPr>
          <w:p w14:paraId="3259F522" w14:textId="77777777" w:rsidR="009E6F90" w:rsidRDefault="009E6F90" w:rsidP="00485DF9">
            <w:r>
              <w:t>Website</w:t>
            </w:r>
          </w:p>
        </w:tc>
        <w:tc>
          <w:tcPr>
            <w:tcW w:w="0" w:type="auto"/>
          </w:tcPr>
          <w:p w14:paraId="401DD67E" w14:textId="77777777" w:rsidR="009E6F90" w:rsidRDefault="00000000" w:rsidP="00485DF9">
            <w:hyperlink r:id="rId44">
              <w:r w:rsidR="009E6F90">
                <w:rPr>
                  <w:color w:val="000080"/>
                  <w:u w:val="single"/>
                </w:rPr>
                <w:t>https://novonordiskfonden.dk/da/grants/distinguished-innovator-grant-fall-2022/</w:t>
              </w:r>
            </w:hyperlink>
          </w:p>
        </w:tc>
      </w:tr>
    </w:tbl>
    <w:p w14:paraId="7D025169" w14:textId="77777777" w:rsidR="009E6F90" w:rsidRDefault="009E6F90"/>
    <w:tbl>
      <w:tblPr>
        <w:tblW w:w="5000" w:type="pct"/>
        <w:tblCellMar>
          <w:top w:w="108" w:type="dxa"/>
        </w:tblCellMar>
        <w:tblLook w:val="0600" w:firstRow="0" w:lastRow="0" w:firstColumn="0" w:lastColumn="0" w:noHBand="1" w:noVBand="1"/>
      </w:tblPr>
      <w:tblGrid>
        <w:gridCol w:w="1162"/>
        <w:gridCol w:w="7864"/>
      </w:tblGrid>
      <w:tr w:rsidR="009E6F90" w14:paraId="48205AEE" w14:textId="77777777" w:rsidTr="00485DF9">
        <w:tc>
          <w:tcPr>
            <w:tcW w:w="0" w:type="auto"/>
            <w:gridSpan w:val="2"/>
          </w:tcPr>
          <w:p w14:paraId="1AD3BDAD" w14:textId="77777777" w:rsidR="009E6F90" w:rsidRDefault="00000000" w:rsidP="00485DF9">
            <w:hyperlink r:id="rId45">
              <w:r w:rsidR="009E6F90">
                <w:rPr>
                  <w:color w:val="000080"/>
                  <w:sz w:val="22"/>
                  <w:u w:val="single"/>
                </w:rPr>
                <w:t>The Mallinckrodt Uveitis Research Fellowship</w:t>
              </w:r>
            </w:hyperlink>
          </w:p>
        </w:tc>
      </w:tr>
      <w:tr w:rsidR="009E6F90" w14:paraId="31B6442D" w14:textId="77777777" w:rsidTr="00485DF9">
        <w:tc>
          <w:tcPr>
            <w:tcW w:w="0" w:type="auto"/>
          </w:tcPr>
          <w:p w14:paraId="1C4D486F" w14:textId="77777777" w:rsidR="009E6F90" w:rsidRDefault="009E6F90" w:rsidP="00485DF9">
            <w:r>
              <w:t>Funder</w:t>
            </w:r>
          </w:p>
        </w:tc>
        <w:tc>
          <w:tcPr>
            <w:tcW w:w="0" w:type="auto"/>
          </w:tcPr>
          <w:p w14:paraId="5BE09A59" w14:textId="77777777" w:rsidR="009E6F90" w:rsidRDefault="00000000" w:rsidP="00485DF9">
            <w:hyperlink r:id="rId46">
              <w:r w:rsidR="009E6F90">
                <w:rPr>
                  <w:color w:val="000080"/>
                  <w:u w:val="single"/>
                </w:rPr>
                <w:t>ARVO Foundation for Eye Research (AFER)</w:t>
              </w:r>
            </w:hyperlink>
          </w:p>
          <w:p w14:paraId="528E21DF" w14:textId="77777777" w:rsidR="009E6F90" w:rsidRDefault="00000000" w:rsidP="00485DF9">
            <w:hyperlink r:id="rId47">
              <w:r w:rsidR="009E6F90">
                <w:rPr>
                  <w:color w:val="000080"/>
                  <w:u w:val="single"/>
                </w:rPr>
                <w:t>Association for Research in Vision and Ophthalmology (ARVO)</w:t>
              </w:r>
            </w:hyperlink>
          </w:p>
        </w:tc>
      </w:tr>
      <w:tr w:rsidR="009E6F90" w14:paraId="7E66C199" w14:textId="77777777" w:rsidTr="00485DF9">
        <w:tc>
          <w:tcPr>
            <w:tcW w:w="0" w:type="auto"/>
          </w:tcPr>
          <w:p w14:paraId="386235DC" w14:textId="77777777" w:rsidR="009E6F90" w:rsidRDefault="009E6F90" w:rsidP="00485DF9">
            <w:r>
              <w:lastRenderedPageBreak/>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641"/>
              <w:gridCol w:w="2268"/>
              <w:gridCol w:w="1723"/>
            </w:tblGrid>
            <w:tr w:rsidR="009E6F90" w14:paraId="1C011DED" w14:textId="77777777" w:rsidTr="00485DF9">
              <w:tc>
                <w:tcPr>
                  <w:tcW w:w="0" w:type="auto"/>
                </w:tcPr>
                <w:p w14:paraId="2AB905A6" w14:textId="77777777" w:rsidR="009E6F90" w:rsidRDefault="009E6F90" w:rsidP="00485DF9">
                  <w:r>
                    <w:rPr>
                      <w:b/>
                    </w:rPr>
                    <w:t>Date</w:t>
                  </w:r>
                </w:p>
              </w:tc>
              <w:tc>
                <w:tcPr>
                  <w:tcW w:w="0" w:type="auto"/>
                </w:tcPr>
                <w:p w14:paraId="171A8B26" w14:textId="77777777" w:rsidR="009E6F90" w:rsidRDefault="009E6F90" w:rsidP="00485DF9">
                  <w:r>
                    <w:rPr>
                      <w:b/>
                    </w:rPr>
                    <w:t>What's due</w:t>
                  </w:r>
                </w:p>
              </w:tc>
              <w:tc>
                <w:tcPr>
                  <w:tcW w:w="0" w:type="auto"/>
                </w:tcPr>
                <w:p w14:paraId="7058DC1C" w14:textId="77777777" w:rsidR="009E6F90" w:rsidRDefault="009E6F90" w:rsidP="00485DF9">
                  <w:r>
                    <w:rPr>
                      <w:b/>
                    </w:rPr>
                    <w:t>Notes</w:t>
                  </w:r>
                </w:p>
              </w:tc>
            </w:tr>
            <w:tr w:rsidR="009E6F90" w14:paraId="47FDFF10" w14:textId="77777777" w:rsidTr="00485DF9">
              <w:tc>
                <w:tcPr>
                  <w:tcW w:w="0" w:type="auto"/>
                </w:tcPr>
                <w:p w14:paraId="71E5DB65" w14:textId="77777777" w:rsidR="009E6F90" w:rsidRDefault="009E6F90" w:rsidP="00485DF9">
                  <w:r>
                    <w:t>01 Sep 2023 - Anticipated / sponsor</w:t>
                  </w:r>
                </w:p>
              </w:tc>
              <w:tc>
                <w:tcPr>
                  <w:tcW w:w="0" w:type="auto"/>
                </w:tcPr>
                <w:p w14:paraId="1A1EAAC7" w14:textId="77777777" w:rsidR="009E6F90" w:rsidRDefault="009E6F90" w:rsidP="00485DF9">
                  <w:r>
                    <w:t>Application - required</w:t>
                  </w:r>
                </w:p>
              </w:tc>
              <w:tc>
                <w:tcPr>
                  <w:tcW w:w="0" w:type="auto"/>
                </w:tcPr>
                <w:p w14:paraId="258A5C27" w14:textId="77777777" w:rsidR="009E6F90" w:rsidRDefault="009E6F90" w:rsidP="00485DF9">
                  <w:r>
                    <w:t>Opens July 1st.</w:t>
                  </w:r>
                </w:p>
              </w:tc>
            </w:tr>
          </w:tbl>
          <w:p w14:paraId="762ED9CF" w14:textId="77777777" w:rsidR="009E6F90" w:rsidRDefault="009E6F90" w:rsidP="00485DF9"/>
        </w:tc>
      </w:tr>
      <w:tr w:rsidR="009E6F90" w14:paraId="38DC008B" w14:textId="77777777" w:rsidTr="00485DF9">
        <w:tc>
          <w:tcPr>
            <w:tcW w:w="0" w:type="auto"/>
          </w:tcPr>
          <w:p w14:paraId="471DFDE6" w14:textId="77777777" w:rsidR="009E6F90" w:rsidRDefault="009E6F90" w:rsidP="00485DF9">
            <w:r>
              <w:t>Amount</w:t>
            </w:r>
          </w:p>
        </w:tc>
        <w:tc>
          <w:tcPr>
            <w:tcW w:w="0" w:type="auto"/>
          </w:tcPr>
          <w:p w14:paraId="64A22902" w14:textId="77777777" w:rsidR="009E6F90" w:rsidRDefault="009E6F90" w:rsidP="00485DF9">
            <w:r>
              <w:rPr>
                <w:b/>
              </w:rPr>
              <w:t>$45,000 USD</w:t>
            </w:r>
          </w:p>
          <w:p w14:paraId="3C0C245E" w14:textId="77777777" w:rsidR="009E6F90" w:rsidRDefault="009E6F90" w:rsidP="00485DF9">
            <w:r>
              <w:t>Fellowship is for one year.</w:t>
            </w:r>
          </w:p>
        </w:tc>
      </w:tr>
      <w:tr w:rsidR="009E6F90" w14:paraId="63678E4A" w14:textId="77777777" w:rsidTr="00485DF9">
        <w:tc>
          <w:tcPr>
            <w:tcW w:w="0" w:type="auto"/>
          </w:tcPr>
          <w:p w14:paraId="6B0D9887" w14:textId="77777777" w:rsidR="009E6F90" w:rsidRDefault="009E6F90" w:rsidP="00485DF9">
            <w:r>
              <w:t>Abstract</w:t>
            </w:r>
          </w:p>
        </w:tc>
        <w:tc>
          <w:tcPr>
            <w:tcW w:w="0" w:type="auto"/>
          </w:tcPr>
          <w:p w14:paraId="03A1708D" w14:textId="77777777" w:rsidR="009E6F90" w:rsidRDefault="009E6F90" w:rsidP="00485DF9">
            <w:r>
              <w:t>The intent of the award is to provide investigators who are early in their careers with an opportunity to explore novel and innovative ideas and to promote the generation of promising preliminary results that may be leveraged to catalyze success in both earning additional, longer-term funding support as well as the authorship of impactful publications and the stimulation of further insights and advances in the ocular inflammation space.</w:t>
            </w:r>
          </w:p>
        </w:tc>
      </w:tr>
      <w:tr w:rsidR="009E6F90" w14:paraId="108FC50E" w14:textId="77777777" w:rsidTr="00485DF9">
        <w:tc>
          <w:tcPr>
            <w:tcW w:w="0" w:type="auto"/>
          </w:tcPr>
          <w:p w14:paraId="16CA8826" w14:textId="77777777" w:rsidR="009E6F90" w:rsidRDefault="009E6F90" w:rsidP="00485DF9">
            <w:r>
              <w:t>Website</w:t>
            </w:r>
          </w:p>
        </w:tc>
        <w:tc>
          <w:tcPr>
            <w:tcW w:w="0" w:type="auto"/>
          </w:tcPr>
          <w:p w14:paraId="3712FA05" w14:textId="77777777" w:rsidR="009E6F90" w:rsidRDefault="00000000" w:rsidP="00485DF9">
            <w:pPr>
              <w:rPr>
                <w:color w:val="000080"/>
                <w:u w:val="single"/>
              </w:rPr>
            </w:pPr>
            <w:hyperlink r:id="rId48">
              <w:r w:rsidR="009E6F90">
                <w:rPr>
                  <w:color w:val="000080"/>
                  <w:u w:val="single"/>
                </w:rPr>
                <w:t>https://www.arvo.org/arvo-foundation/what-we-fund/awards-grants-and-fellowships/mallinckrodt-uveitis-research-fellowship/</w:t>
              </w:r>
            </w:hyperlink>
          </w:p>
          <w:p w14:paraId="72D5D66B" w14:textId="77777777" w:rsidR="000869FE" w:rsidRDefault="000869FE" w:rsidP="00485DF9"/>
        </w:tc>
      </w:tr>
    </w:tbl>
    <w:p w14:paraId="158A11BD" w14:textId="77777777" w:rsidR="000869FE" w:rsidRPr="000869FE" w:rsidRDefault="000869FE" w:rsidP="000869FE">
      <w:pPr>
        <w:pStyle w:val="Heading1"/>
        <w:spacing w:before="120" w:beforeAutospacing="0" w:after="120" w:afterAutospacing="0"/>
        <w:rPr>
          <w:rFonts w:ascii="Arial" w:hAnsi="Arial" w:cs="Arial"/>
          <w:sz w:val="18"/>
          <w:szCs w:val="18"/>
        </w:rPr>
      </w:pPr>
      <w:r w:rsidRPr="000869FE">
        <w:rPr>
          <w:rStyle w:val="field"/>
          <w:rFonts w:ascii="Arial" w:hAnsi="Arial" w:cs="Arial"/>
          <w:sz w:val="18"/>
          <w:szCs w:val="18"/>
        </w:rPr>
        <w:t>Open Call for project funding 2024 for the Nordic Working Group for Chemicals, Environment, and Health (NKE)</w:t>
      </w:r>
      <w:r w:rsidRPr="000869FE">
        <w:rPr>
          <w:rStyle w:val="apple-converted-space"/>
          <w:rFonts w:ascii="Arial" w:hAnsi="Arial" w:cs="Arial"/>
          <w:sz w:val="18"/>
          <w:szCs w:val="18"/>
        </w:rPr>
        <w:t> </w:t>
      </w:r>
    </w:p>
    <w:p w14:paraId="3A041C48" w14:textId="77B9C005" w:rsidR="000869FE" w:rsidRPr="000869FE" w:rsidRDefault="000869FE" w:rsidP="000869FE">
      <w:pPr>
        <w:pStyle w:val="NormalWeb"/>
        <w:spacing w:before="120" w:beforeAutospacing="0" w:after="120" w:afterAutospacing="0"/>
        <w:rPr>
          <w:rFonts w:ascii="Arial" w:hAnsi="Arial" w:cs="Arial"/>
          <w:color w:val="454547"/>
          <w:sz w:val="18"/>
          <w:szCs w:val="18"/>
        </w:rPr>
      </w:pPr>
      <w:r w:rsidRPr="000869FE">
        <w:rPr>
          <w:rFonts w:ascii="Arial" w:hAnsi="Arial" w:cs="Arial"/>
          <w:color w:val="454547"/>
          <w:sz w:val="18"/>
          <w:szCs w:val="18"/>
        </w:rPr>
        <w:t>Deadline for applications is 9.6.2023</w:t>
      </w:r>
      <w:r>
        <w:rPr>
          <w:rFonts w:ascii="Arial" w:hAnsi="Arial" w:cs="Arial"/>
          <w:color w:val="454547"/>
          <w:sz w:val="18"/>
          <w:szCs w:val="18"/>
          <w:lang w:val="sv-SE"/>
        </w:rPr>
        <w:t xml:space="preserve"> </w:t>
      </w:r>
      <w:r w:rsidRPr="000869FE">
        <w:rPr>
          <w:rFonts w:ascii="Arial" w:hAnsi="Arial" w:cs="Arial"/>
          <w:color w:val="454547"/>
          <w:sz w:val="18"/>
          <w:szCs w:val="18"/>
        </w:rPr>
        <w:t>- 23:59</w:t>
      </w:r>
    </w:p>
    <w:p w14:paraId="4ABDD4A4" w14:textId="77777777" w:rsidR="000869FE" w:rsidRPr="000869FE" w:rsidRDefault="000869FE" w:rsidP="000869FE">
      <w:pPr>
        <w:shd w:val="clear" w:color="auto" w:fill="FFFFFF"/>
        <w:spacing w:before="120" w:after="120"/>
        <w:rPr>
          <w:rFonts w:cs="Arial"/>
          <w:b/>
          <w:bCs/>
          <w:color w:val="454547"/>
          <w:szCs w:val="18"/>
        </w:rPr>
      </w:pPr>
      <w:proofErr w:type="spellStart"/>
      <w:r w:rsidRPr="000869FE">
        <w:rPr>
          <w:rFonts w:cs="Arial"/>
          <w:b/>
          <w:bCs/>
          <w:color w:val="454547"/>
          <w:szCs w:val="18"/>
        </w:rPr>
        <w:t>Relaterade</w:t>
      </w:r>
      <w:proofErr w:type="spellEnd"/>
      <w:r w:rsidRPr="000869FE">
        <w:rPr>
          <w:rFonts w:cs="Arial"/>
          <w:b/>
          <w:bCs/>
          <w:color w:val="454547"/>
          <w:szCs w:val="18"/>
        </w:rPr>
        <w:t xml:space="preserve"> </w:t>
      </w:r>
      <w:proofErr w:type="spellStart"/>
      <w:r w:rsidRPr="000869FE">
        <w:rPr>
          <w:rFonts w:cs="Arial"/>
          <w:b/>
          <w:bCs/>
          <w:color w:val="454547"/>
          <w:szCs w:val="18"/>
        </w:rPr>
        <w:t>organisationer</w:t>
      </w:r>
      <w:proofErr w:type="spellEnd"/>
    </w:p>
    <w:p w14:paraId="6F93734A" w14:textId="77777777" w:rsidR="000869FE" w:rsidRPr="000869FE" w:rsidRDefault="000869FE" w:rsidP="000869FE">
      <w:pPr>
        <w:shd w:val="clear" w:color="auto" w:fill="FFFFFF"/>
        <w:spacing w:before="120" w:after="120"/>
        <w:rPr>
          <w:rFonts w:cs="Arial"/>
          <w:color w:val="454547"/>
          <w:szCs w:val="18"/>
        </w:rPr>
      </w:pPr>
      <w:hyperlink r:id="rId49" w:history="1">
        <w:r w:rsidRPr="000869FE">
          <w:rPr>
            <w:rStyle w:val="Hyperlink"/>
            <w:rFonts w:cs="Arial"/>
            <w:color w:val="006DB6"/>
            <w:szCs w:val="18"/>
          </w:rPr>
          <w:t>Nordic Working Group for Chemicals, Environment, and Health (NKE)</w:t>
        </w:r>
        <w:r w:rsidRPr="000869FE">
          <w:rPr>
            <w:rStyle w:val="apple-converted-space"/>
            <w:rFonts w:cs="Arial"/>
            <w:color w:val="006DB6"/>
            <w:szCs w:val="18"/>
          </w:rPr>
          <w:t> </w:t>
        </w:r>
      </w:hyperlink>
    </w:p>
    <w:p w14:paraId="3113FC05" w14:textId="20715DD5" w:rsidR="000869FE" w:rsidRPr="000869FE" w:rsidRDefault="000869FE" w:rsidP="000869FE">
      <w:pPr>
        <w:pStyle w:val="NormalWeb"/>
        <w:spacing w:before="120" w:beforeAutospacing="0" w:after="120" w:afterAutospacing="0"/>
        <w:rPr>
          <w:rFonts w:ascii="Arial" w:hAnsi="Arial" w:cs="Arial"/>
          <w:color w:val="000000" w:themeColor="text1"/>
          <w:sz w:val="18"/>
          <w:szCs w:val="18"/>
          <w:lang w:val="sv-SE"/>
        </w:rPr>
      </w:pPr>
      <w:proofErr w:type="spellStart"/>
      <w:r w:rsidRPr="000869FE">
        <w:rPr>
          <w:rFonts w:ascii="Arial" w:hAnsi="Arial" w:cs="Arial"/>
          <w:color w:val="000000" w:themeColor="text1"/>
          <w:sz w:val="18"/>
          <w:szCs w:val="18"/>
          <w:lang w:val="sv-SE"/>
        </w:rPr>
        <w:t>Open</w:t>
      </w:r>
      <w:proofErr w:type="spellEnd"/>
      <w:r w:rsidRPr="000869FE">
        <w:rPr>
          <w:rFonts w:ascii="Arial" w:hAnsi="Arial" w:cs="Arial"/>
          <w:color w:val="000000" w:themeColor="text1"/>
          <w:sz w:val="18"/>
          <w:szCs w:val="18"/>
          <w:lang w:val="sv-SE"/>
        </w:rPr>
        <w:t xml:space="preserve"> to: </w:t>
      </w:r>
      <w:r w:rsidRPr="000869FE">
        <w:rPr>
          <w:rFonts w:ascii="Arial" w:hAnsi="Arial" w:cs="Arial"/>
          <w:color w:val="000000" w:themeColor="text1"/>
          <w:sz w:val="18"/>
          <w:szCs w:val="18"/>
        </w:rPr>
        <w:t>Danmark</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Sverige</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Finland</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Färöarna</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Island</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Åland</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Norge</w:t>
      </w:r>
      <w:r w:rsidRPr="000869FE">
        <w:rPr>
          <w:rFonts w:ascii="Arial" w:hAnsi="Arial" w:cs="Arial"/>
          <w:color w:val="000000" w:themeColor="text1"/>
          <w:sz w:val="18"/>
          <w:szCs w:val="18"/>
          <w:lang w:val="sv-SE"/>
        </w:rPr>
        <w:t xml:space="preserve">, </w:t>
      </w:r>
      <w:r w:rsidRPr="000869FE">
        <w:rPr>
          <w:rFonts w:ascii="Arial" w:hAnsi="Arial" w:cs="Arial"/>
          <w:color w:val="000000" w:themeColor="text1"/>
          <w:sz w:val="18"/>
          <w:szCs w:val="18"/>
        </w:rPr>
        <w:t>Grönland</w:t>
      </w:r>
    </w:p>
    <w:p w14:paraId="66B8213C"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NKE is working towards to help minimise the negative health and environmental effects of chemicals in products, emissions and waste. NKE covers a wide area and co-operation on chemicals is a big challenge. Over the years, NKE has built and expanded networks of experts from national agencies in the Nordic countries. NKE has also set up sub-groups (project groups) as per the targets set for the various areas.</w:t>
      </w:r>
    </w:p>
    <w:p w14:paraId="6654BE3B"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Nordic co-operation has often taken the form of exerting influence on EU regulations but also covers other aspects of international work, e.g. conventions, the Arctic environment, test methods and OECD work on chemicals, which also forms the foundations for EU regulation. NKE believes that the networks have the best prerequisite for coming up with new and current questions how Nordic work can address the critical issues with chemicals in the Nordic countries, the EU, and globally. We welcome new ideas and encourage forward way of thinking: What knowledge do we lack today and what do we need to acquire knowledge of?</w:t>
      </w:r>
    </w:p>
    <w:p w14:paraId="5C12BBEB"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 xml:space="preserve"> </w:t>
      </w:r>
    </w:p>
    <w:p w14:paraId="55C00215"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NKE focuses on goals set in the Programme for Nordic Co-operation on the Environment and Climate 2019–2024 and Our Vision 2030 and prioritises projects according to these goals.</w:t>
      </w:r>
    </w:p>
    <w:p w14:paraId="421CC60E"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The applications will be assessed based on</w:t>
      </w:r>
    </w:p>
    <w:p w14:paraId="64E6EC89"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w:t>
      </w:r>
      <w:r w:rsidRPr="000869FE">
        <w:rPr>
          <w:rFonts w:ascii="Arial" w:hAnsi="Arial" w:cs="Arial"/>
          <w:color w:val="000000" w:themeColor="text1"/>
          <w:sz w:val="18"/>
          <w:szCs w:val="18"/>
        </w:rPr>
        <w:tab/>
        <w:t>their alignment of the Programme for Nordic Cooperation and Vision 2030 goals</w:t>
      </w:r>
    </w:p>
    <w:p w14:paraId="0A0D41BA"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w:t>
      </w:r>
      <w:r w:rsidRPr="000869FE">
        <w:rPr>
          <w:rFonts w:ascii="Arial" w:hAnsi="Arial" w:cs="Arial"/>
          <w:color w:val="000000" w:themeColor="text1"/>
          <w:sz w:val="18"/>
          <w:szCs w:val="18"/>
        </w:rPr>
        <w:tab/>
        <w:t>the relevance for NKE work and Nordic utility</w:t>
      </w:r>
    </w:p>
    <w:p w14:paraId="399F3D02" w14:textId="77777777"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w:t>
      </w:r>
      <w:r w:rsidRPr="000869FE">
        <w:rPr>
          <w:rFonts w:ascii="Arial" w:hAnsi="Arial" w:cs="Arial"/>
          <w:color w:val="000000" w:themeColor="text1"/>
          <w:sz w:val="18"/>
          <w:szCs w:val="18"/>
        </w:rPr>
        <w:tab/>
        <w:t>quality of the project description</w:t>
      </w:r>
    </w:p>
    <w:p w14:paraId="05C7F623" w14:textId="2CF457A9" w:rsidR="000869FE" w:rsidRPr="000869FE" w:rsidRDefault="000869FE" w:rsidP="000869FE">
      <w:pPr>
        <w:pStyle w:val="NormalWeb"/>
        <w:spacing w:before="120" w:beforeAutospacing="0" w:after="120" w:afterAutospacing="0"/>
        <w:rPr>
          <w:rFonts w:ascii="Arial" w:hAnsi="Arial" w:cs="Arial"/>
          <w:color w:val="000000" w:themeColor="text1"/>
          <w:sz w:val="18"/>
          <w:szCs w:val="18"/>
        </w:rPr>
      </w:pPr>
      <w:r w:rsidRPr="000869FE">
        <w:rPr>
          <w:rFonts w:ascii="Arial" w:hAnsi="Arial" w:cs="Arial"/>
          <w:color w:val="000000" w:themeColor="text1"/>
          <w:sz w:val="18"/>
          <w:szCs w:val="18"/>
        </w:rPr>
        <w:t>•</w:t>
      </w:r>
      <w:r w:rsidRPr="000869FE">
        <w:rPr>
          <w:rFonts w:ascii="Arial" w:hAnsi="Arial" w:cs="Arial"/>
          <w:color w:val="000000" w:themeColor="text1"/>
          <w:sz w:val="18"/>
          <w:szCs w:val="18"/>
        </w:rPr>
        <w:tab/>
        <w:t>communication plan for the results generated. </w:t>
      </w:r>
    </w:p>
    <w:p w14:paraId="633A440D" w14:textId="77777777" w:rsidR="000869FE" w:rsidRDefault="000869FE" w:rsidP="000869FE">
      <w:pPr>
        <w:pStyle w:val="NormalWeb"/>
        <w:spacing w:before="120" w:beforeAutospacing="0" w:after="120" w:afterAutospacing="0"/>
        <w:rPr>
          <w:rFonts w:ascii="Arial" w:hAnsi="Arial" w:cs="Arial"/>
          <w:color w:val="454547"/>
          <w:sz w:val="18"/>
          <w:szCs w:val="18"/>
        </w:rPr>
      </w:pPr>
      <w:r w:rsidRPr="000869FE">
        <w:rPr>
          <w:rFonts w:ascii="Arial" w:hAnsi="Arial" w:cs="Arial"/>
          <w:color w:val="000000" w:themeColor="text1"/>
          <w:sz w:val="18"/>
          <w:szCs w:val="18"/>
        </w:rPr>
        <w:t>You can apply by sending application to NKE coordinator</w:t>
      </w:r>
      <w:r w:rsidRPr="000869FE">
        <w:rPr>
          <w:rStyle w:val="apple-converted-space"/>
          <w:rFonts w:ascii="Arial" w:hAnsi="Arial" w:cs="Arial"/>
          <w:color w:val="000000" w:themeColor="text1"/>
          <w:sz w:val="18"/>
          <w:szCs w:val="18"/>
        </w:rPr>
        <w:t> </w:t>
      </w:r>
      <w:hyperlink r:id="rId50" w:history="1">
        <w:r w:rsidRPr="000869FE">
          <w:rPr>
            <w:rStyle w:val="Hyperlink"/>
            <w:rFonts w:ascii="Arial" w:hAnsi="Arial" w:cs="Arial"/>
            <w:b/>
            <w:bCs/>
            <w:color w:val="006DB6"/>
            <w:sz w:val="18"/>
            <w:szCs w:val="18"/>
          </w:rPr>
          <w:t>miia.hakkinen@tukes.fi</w:t>
        </w:r>
      </w:hyperlink>
    </w:p>
    <w:p w14:paraId="4225F7B2" w14:textId="2F0F4391" w:rsidR="000869FE" w:rsidRDefault="000869FE" w:rsidP="000869FE">
      <w:pPr>
        <w:pStyle w:val="NormalWeb"/>
        <w:spacing w:before="120" w:beforeAutospacing="0" w:after="120" w:afterAutospacing="0"/>
        <w:rPr>
          <w:rFonts w:ascii="Arial" w:hAnsi="Arial" w:cs="Arial"/>
          <w:color w:val="454547"/>
          <w:sz w:val="18"/>
          <w:szCs w:val="18"/>
          <w:lang w:val="en-US"/>
        </w:rPr>
      </w:pPr>
      <w:r w:rsidRPr="000869FE">
        <w:rPr>
          <w:rFonts w:ascii="Arial" w:hAnsi="Arial" w:cs="Arial"/>
          <w:color w:val="454547"/>
          <w:sz w:val="18"/>
          <w:szCs w:val="18"/>
          <w:lang w:val="en-US"/>
        </w:rPr>
        <w:t xml:space="preserve">Website: </w:t>
      </w:r>
      <w:hyperlink r:id="rId51" w:history="1">
        <w:r w:rsidRPr="00613FF9">
          <w:rPr>
            <w:rStyle w:val="Hyperlink"/>
            <w:rFonts w:ascii="Arial" w:hAnsi="Arial" w:cs="Arial"/>
            <w:sz w:val="18"/>
            <w:szCs w:val="18"/>
            <w:lang w:val="en-US"/>
          </w:rPr>
          <w:t>https://www.norden.org/sv/node/80106</w:t>
        </w:r>
      </w:hyperlink>
    </w:p>
    <w:p w14:paraId="04872A4A" w14:textId="77777777" w:rsidR="000869FE" w:rsidRPr="000869FE" w:rsidRDefault="000869FE" w:rsidP="000869FE">
      <w:pPr>
        <w:pStyle w:val="NormalWeb"/>
        <w:spacing w:before="120" w:beforeAutospacing="0" w:after="120" w:afterAutospacing="0"/>
        <w:rPr>
          <w:rFonts w:ascii="Arial" w:hAnsi="Arial" w:cs="Arial"/>
          <w:color w:val="454547"/>
          <w:sz w:val="18"/>
          <w:szCs w:val="18"/>
          <w:lang w:val="en-US"/>
        </w:rPr>
      </w:pPr>
    </w:p>
    <w:p w14:paraId="145F8DB4" w14:textId="77777777" w:rsidR="000869FE" w:rsidRPr="000869FE" w:rsidRDefault="000869FE" w:rsidP="000869FE">
      <w:pPr>
        <w:rPr>
          <w:rFonts w:cs="Arial"/>
          <w:szCs w:val="18"/>
        </w:rPr>
      </w:pPr>
    </w:p>
    <w:sectPr w:rsidR="000869FE" w:rsidRPr="00086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2"/>
    <w:multiLevelType w:val="hybridMultilevel"/>
    <w:tmpl w:val="E294C296"/>
    <w:lvl w:ilvl="0" w:tplc="715EC5E4">
      <w:start w:val="1"/>
      <w:numFmt w:val="bullet"/>
      <w:lvlText w:val="●"/>
      <w:lvlJc w:val="left"/>
      <w:pPr>
        <w:ind w:left="720" w:hanging="360"/>
      </w:pPr>
      <w:rPr>
        <w:rFonts w:ascii="Symbol" w:hAnsi="Symbol" w:hint="default"/>
      </w:rPr>
    </w:lvl>
    <w:lvl w:ilvl="1" w:tplc="486A5B92">
      <w:start w:val="1"/>
      <w:numFmt w:val="bullet"/>
      <w:lvlText w:val="●"/>
      <w:lvlJc w:val="left"/>
      <w:pPr>
        <w:ind w:left="1440" w:hanging="360"/>
      </w:pPr>
      <w:rPr>
        <w:rFonts w:ascii="Symbol" w:hAnsi="Symbol" w:hint="default"/>
      </w:rPr>
    </w:lvl>
    <w:lvl w:ilvl="2" w:tplc="5EC40C2C">
      <w:start w:val="1"/>
      <w:numFmt w:val="bullet"/>
      <w:lvlText w:val="●"/>
      <w:lvlJc w:val="left"/>
      <w:pPr>
        <w:ind w:left="2160" w:hanging="360"/>
      </w:pPr>
      <w:rPr>
        <w:rFonts w:ascii="Symbol" w:hAnsi="Symbol" w:hint="default"/>
      </w:rPr>
    </w:lvl>
    <w:lvl w:ilvl="3" w:tplc="79122542">
      <w:start w:val="1"/>
      <w:numFmt w:val="bullet"/>
      <w:lvlText w:val="●"/>
      <w:lvlJc w:val="left"/>
      <w:pPr>
        <w:ind w:left="2880" w:hanging="360"/>
      </w:pPr>
      <w:rPr>
        <w:rFonts w:ascii="Symbol" w:hAnsi="Symbol" w:hint="default"/>
      </w:rPr>
    </w:lvl>
    <w:lvl w:ilvl="4" w:tplc="99967C3E">
      <w:start w:val="1"/>
      <w:numFmt w:val="bullet"/>
      <w:lvlText w:val="●"/>
      <w:lvlJc w:val="left"/>
      <w:pPr>
        <w:ind w:left="3600" w:hanging="360"/>
      </w:pPr>
      <w:rPr>
        <w:rFonts w:ascii="Symbol" w:hAnsi="Symbol" w:hint="default"/>
      </w:rPr>
    </w:lvl>
    <w:lvl w:ilvl="5" w:tplc="D6480A7C">
      <w:start w:val="1"/>
      <w:numFmt w:val="bullet"/>
      <w:lvlText w:val="●"/>
      <w:lvlJc w:val="left"/>
      <w:pPr>
        <w:ind w:left="4320" w:hanging="360"/>
      </w:pPr>
      <w:rPr>
        <w:rFonts w:ascii="Symbol" w:hAnsi="Symbol" w:hint="default"/>
      </w:rPr>
    </w:lvl>
    <w:lvl w:ilvl="6" w:tplc="A3F0AEAA">
      <w:numFmt w:val="decimal"/>
      <w:lvlText w:val=""/>
      <w:lvlJc w:val="left"/>
    </w:lvl>
    <w:lvl w:ilvl="7" w:tplc="5B94C858">
      <w:numFmt w:val="decimal"/>
      <w:lvlText w:val=""/>
      <w:lvlJc w:val="left"/>
    </w:lvl>
    <w:lvl w:ilvl="8" w:tplc="65B8BF16">
      <w:numFmt w:val="decimal"/>
      <w:lvlText w:val=""/>
      <w:lvlJc w:val="left"/>
    </w:lvl>
  </w:abstractNum>
  <w:abstractNum w:abstractNumId="1" w15:restartNumberingAfterBreak="0">
    <w:nsid w:val="99A08C13"/>
    <w:multiLevelType w:val="hybridMultilevel"/>
    <w:tmpl w:val="CEB6B2BA"/>
    <w:lvl w:ilvl="0" w:tplc="199E44C6">
      <w:start w:val="1"/>
      <w:numFmt w:val="bullet"/>
      <w:lvlText w:val="●"/>
      <w:lvlJc w:val="left"/>
      <w:pPr>
        <w:ind w:left="720" w:hanging="360"/>
      </w:pPr>
      <w:rPr>
        <w:rFonts w:ascii="Symbol" w:hAnsi="Symbol" w:hint="default"/>
      </w:rPr>
    </w:lvl>
    <w:lvl w:ilvl="1" w:tplc="F6E8EB62">
      <w:start w:val="1"/>
      <w:numFmt w:val="bullet"/>
      <w:lvlText w:val="●"/>
      <w:lvlJc w:val="left"/>
      <w:pPr>
        <w:ind w:left="1440" w:hanging="360"/>
      </w:pPr>
      <w:rPr>
        <w:rFonts w:ascii="Symbol" w:hAnsi="Symbol" w:hint="default"/>
      </w:rPr>
    </w:lvl>
    <w:lvl w:ilvl="2" w:tplc="B504D45E">
      <w:start w:val="1"/>
      <w:numFmt w:val="bullet"/>
      <w:lvlText w:val="●"/>
      <w:lvlJc w:val="left"/>
      <w:pPr>
        <w:ind w:left="2160" w:hanging="360"/>
      </w:pPr>
      <w:rPr>
        <w:rFonts w:ascii="Symbol" w:hAnsi="Symbol" w:hint="default"/>
      </w:rPr>
    </w:lvl>
    <w:lvl w:ilvl="3" w:tplc="AAB0C66E">
      <w:start w:val="1"/>
      <w:numFmt w:val="bullet"/>
      <w:lvlText w:val="●"/>
      <w:lvlJc w:val="left"/>
      <w:pPr>
        <w:ind w:left="2880" w:hanging="360"/>
      </w:pPr>
      <w:rPr>
        <w:rFonts w:ascii="Symbol" w:hAnsi="Symbol" w:hint="default"/>
      </w:rPr>
    </w:lvl>
    <w:lvl w:ilvl="4" w:tplc="F6F49F0C">
      <w:start w:val="1"/>
      <w:numFmt w:val="bullet"/>
      <w:lvlText w:val="●"/>
      <w:lvlJc w:val="left"/>
      <w:pPr>
        <w:ind w:left="3600" w:hanging="360"/>
      </w:pPr>
      <w:rPr>
        <w:rFonts w:ascii="Symbol" w:hAnsi="Symbol" w:hint="default"/>
      </w:rPr>
    </w:lvl>
    <w:lvl w:ilvl="5" w:tplc="22CA2692">
      <w:start w:val="1"/>
      <w:numFmt w:val="bullet"/>
      <w:lvlText w:val="●"/>
      <w:lvlJc w:val="left"/>
      <w:pPr>
        <w:ind w:left="4320" w:hanging="360"/>
      </w:pPr>
      <w:rPr>
        <w:rFonts w:ascii="Symbol" w:hAnsi="Symbol" w:hint="default"/>
      </w:rPr>
    </w:lvl>
    <w:lvl w:ilvl="6" w:tplc="0F3CDB7C">
      <w:numFmt w:val="decimal"/>
      <w:lvlText w:val=""/>
      <w:lvlJc w:val="left"/>
    </w:lvl>
    <w:lvl w:ilvl="7" w:tplc="A82C2744">
      <w:numFmt w:val="decimal"/>
      <w:lvlText w:val=""/>
      <w:lvlJc w:val="left"/>
    </w:lvl>
    <w:lvl w:ilvl="8" w:tplc="A6A6A3D0">
      <w:numFmt w:val="decimal"/>
      <w:lvlText w:val=""/>
      <w:lvlJc w:val="left"/>
    </w:lvl>
  </w:abstractNum>
  <w:abstractNum w:abstractNumId="2" w15:restartNumberingAfterBreak="0">
    <w:nsid w:val="99A08C14"/>
    <w:multiLevelType w:val="hybridMultilevel"/>
    <w:tmpl w:val="1C36C176"/>
    <w:lvl w:ilvl="0" w:tplc="481CDAAE">
      <w:start w:val="1"/>
      <w:numFmt w:val="bullet"/>
      <w:lvlText w:val="●"/>
      <w:lvlJc w:val="left"/>
      <w:pPr>
        <w:ind w:left="720" w:hanging="360"/>
      </w:pPr>
      <w:rPr>
        <w:rFonts w:ascii="Symbol" w:hAnsi="Symbol" w:hint="default"/>
      </w:rPr>
    </w:lvl>
    <w:lvl w:ilvl="1" w:tplc="E1309322">
      <w:start w:val="1"/>
      <w:numFmt w:val="bullet"/>
      <w:lvlText w:val="●"/>
      <w:lvlJc w:val="left"/>
      <w:pPr>
        <w:ind w:left="1440" w:hanging="360"/>
      </w:pPr>
      <w:rPr>
        <w:rFonts w:ascii="Symbol" w:hAnsi="Symbol" w:hint="default"/>
      </w:rPr>
    </w:lvl>
    <w:lvl w:ilvl="2" w:tplc="1702EF62">
      <w:start w:val="1"/>
      <w:numFmt w:val="bullet"/>
      <w:lvlText w:val="●"/>
      <w:lvlJc w:val="left"/>
      <w:pPr>
        <w:ind w:left="2160" w:hanging="360"/>
      </w:pPr>
      <w:rPr>
        <w:rFonts w:ascii="Symbol" w:hAnsi="Symbol" w:hint="default"/>
      </w:rPr>
    </w:lvl>
    <w:lvl w:ilvl="3" w:tplc="15DE351C">
      <w:start w:val="1"/>
      <w:numFmt w:val="bullet"/>
      <w:lvlText w:val="●"/>
      <w:lvlJc w:val="left"/>
      <w:pPr>
        <w:ind w:left="2880" w:hanging="360"/>
      </w:pPr>
      <w:rPr>
        <w:rFonts w:ascii="Symbol" w:hAnsi="Symbol" w:hint="default"/>
      </w:rPr>
    </w:lvl>
    <w:lvl w:ilvl="4" w:tplc="E6864480">
      <w:start w:val="1"/>
      <w:numFmt w:val="bullet"/>
      <w:lvlText w:val="●"/>
      <w:lvlJc w:val="left"/>
      <w:pPr>
        <w:ind w:left="3600" w:hanging="360"/>
      </w:pPr>
      <w:rPr>
        <w:rFonts w:ascii="Symbol" w:hAnsi="Symbol" w:hint="default"/>
      </w:rPr>
    </w:lvl>
    <w:lvl w:ilvl="5" w:tplc="5302E556">
      <w:start w:val="1"/>
      <w:numFmt w:val="bullet"/>
      <w:lvlText w:val="●"/>
      <w:lvlJc w:val="left"/>
      <w:pPr>
        <w:ind w:left="4320" w:hanging="360"/>
      </w:pPr>
      <w:rPr>
        <w:rFonts w:ascii="Symbol" w:hAnsi="Symbol" w:hint="default"/>
      </w:rPr>
    </w:lvl>
    <w:lvl w:ilvl="6" w:tplc="CF4C338E">
      <w:numFmt w:val="decimal"/>
      <w:lvlText w:val=""/>
      <w:lvlJc w:val="left"/>
    </w:lvl>
    <w:lvl w:ilvl="7" w:tplc="561AA87C">
      <w:numFmt w:val="decimal"/>
      <w:lvlText w:val=""/>
      <w:lvlJc w:val="left"/>
    </w:lvl>
    <w:lvl w:ilvl="8" w:tplc="28AEE31C">
      <w:numFmt w:val="decimal"/>
      <w:lvlText w:val=""/>
      <w:lvlJc w:val="left"/>
    </w:lvl>
  </w:abstractNum>
  <w:abstractNum w:abstractNumId="3" w15:restartNumberingAfterBreak="0">
    <w:nsid w:val="99A08C15"/>
    <w:multiLevelType w:val="hybridMultilevel"/>
    <w:tmpl w:val="18421FA2"/>
    <w:lvl w:ilvl="0" w:tplc="0AB62F86">
      <w:start w:val="1"/>
      <w:numFmt w:val="bullet"/>
      <w:lvlText w:val="●"/>
      <w:lvlJc w:val="left"/>
      <w:pPr>
        <w:ind w:left="720" w:hanging="360"/>
      </w:pPr>
      <w:rPr>
        <w:rFonts w:ascii="Symbol" w:hAnsi="Symbol" w:hint="default"/>
      </w:rPr>
    </w:lvl>
    <w:lvl w:ilvl="1" w:tplc="AE486DAA">
      <w:start w:val="1"/>
      <w:numFmt w:val="bullet"/>
      <w:lvlText w:val="●"/>
      <w:lvlJc w:val="left"/>
      <w:pPr>
        <w:ind w:left="1440" w:hanging="360"/>
      </w:pPr>
      <w:rPr>
        <w:rFonts w:ascii="Symbol" w:hAnsi="Symbol" w:hint="default"/>
      </w:rPr>
    </w:lvl>
    <w:lvl w:ilvl="2" w:tplc="AF52768C">
      <w:start w:val="1"/>
      <w:numFmt w:val="bullet"/>
      <w:lvlText w:val="●"/>
      <w:lvlJc w:val="left"/>
      <w:pPr>
        <w:ind w:left="2160" w:hanging="360"/>
      </w:pPr>
      <w:rPr>
        <w:rFonts w:ascii="Symbol" w:hAnsi="Symbol" w:hint="default"/>
      </w:rPr>
    </w:lvl>
    <w:lvl w:ilvl="3" w:tplc="7406904C">
      <w:start w:val="1"/>
      <w:numFmt w:val="bullet"/>
      <w:lvlText w:val="●"/>
      <w:lvlJc w:val="left"/>
      <w:pPr>
        <w:ind w:left="2880" w:hanging="360"/>
      </w:pPr>
      <w:rPr>
        <w:rFonts w:ascii="Symbol" w:hAnsi="Symbol" w:hint="default"/>
      </w:rPr>
    </w:lvl>
    <w:lvl w:ilvl="4" w:tplc="59E637FA">
      <w:start w:val="1"/>
      <w:numFmt w:val="bullet"/>
      <w:lvlText w:val="●"/>
      <w:lvlJc w:val="left"/>
      <w:pPr>
        <w:ind w:left="3600" w:hanging="360"/>
      </w:pPr>
      <w:rPr>
        <w:rFonts w:ascii="Symbol" w:hAnsi="Symbol" w:hint="default"/>
      </w:rPr>
    </w:lvl>
    <w:lvl w:ilvl="5" w:tplc="F44C88A2">
      <w:start w:val="1"/>
      <w:numFmt w:val="bullet"/>
      <w:lvlText w:val="●"/>
      <w:lvlJc w:val="left"/>
      <w:pPr>
        <w:ind w:left="4320" w:hanging="360"/>
      </w:pPr>
      <w:rPr>
        <w:rFonts w:ascii="Symbol" w:hAnsi="Symbol" w:hint="default"/>
      </w:rPr>
    </w:lvl>
    <w:lvl w:ilvl="6" w:tplc="42B6BFC6">
      <w:numFmt w:val="decimal"/>
      <w:lvlText w:val=""/>
      <w:lvlJc w:val="left"/>
    </w:lvl>
    <w:lvl w:ilvl="7" w:tplc="BB0A1E80">
      <w:numFmt w:val="decimal"/>
      <w:lvlText w:val=""/>
      <w:lvlJc w:val="left"/>
    </w:lvl>
    <w:lvl w:ilvl="8" w:tplc="8168DA20">
      <w:numFmt w:val="decimal"/>
      <w:lvlText w:val=""/>
      <w:lvlJc w:val="left"/>
    </w:lvl>
  </w:abstractNum>
  <w:abstractNum w:abstractNumId="4" w15:restartNumberingAfterBreak="0">
    <w:nsid w:val="99A08C16"/>
    <w:multiLevelType w:val="hybridMultilevel"/>
    <w:tmpl w:val="C180C50A"/>
    <w:lvl w:ilvl="0" w:tplc="B25AA1DC">
      <w:start w:val="1"/>
      <w:numFmt w:val="bullet"/>
      <w:lvlText w:val="●"/>
      <w:lvlJc w:val="left"/>
      <w:pPr>
        <w:ind w:left="720" w:hanging="360"/>
      </w:pPr>
      <w:rPr>
        <w:rFonts w:ascii="Symbol" w:hAnsi="Symbol" w:hint="default"/>
      </w:rPr>
    </w:lvl>
    <w:lvl w:ilvl="1" w:tplc="25AC8500">
      <w:start w:val="1"/>
      <w:numFmt w:val="bullet"/>
      <w:lvlText w:val="●"/>
      <w:lvlJc w:val="left"/>
      <w:pPr>
        <w:ind w:left="1440" w:hanging="360"/>
      </w:pPr>
      <w:rPr>
        <w:rFonts w:ascii="Symbol" w:hAnsi="Symbol" w:hint="default"/>
      </w:rPr>
    </w:lvl>
    <w:lvl w:ilvl="2" w:tplc="B21C5282">
      <w:start w:val="1"/>
      <w:numFmt w:val="bullet"/>
      <w:lvlText w:val="●"/>
      <w:lvlJc w:val="left"/>
      <w:pPr>
        <w:ind w:left="2160" w:hanging="360"/>
      </w:pPr>
      <w:rPr>
        <w:rFonts w:ascii="Symbol" w:hAnsi="Symbol" w:hint="default"/>
      </w:rPr>
    </w:lvl>
    <w:lvl w:ilvl="3" w:tplc="D682C9B6">
      <w:start w:val="1"/>
      <w:numFmt w:val="bullet"/>
      <w:lvlText w:val="●"/>
      <w:lvlJc w:val="left"/>
      <w:pPr>
        <w:ind w:left="2880" w:hanging="360"/>
      </w:pPr>
      <w:rPr>
        <w:rFonts w:ascii="Symbol" w:hAnsi="Symbol" w:hint="default"/>
      </w:rPr>
    </w:lvl>
    <w:lvl w:ilvl="4" w:tplc="C3704F48">
      <w:start w:val="1"/>
      <w:numFmt w:val="bullet"/>
      <w:lvlText w:val="●"/>
      <w:lvlJc w:val="left"/>
      <w:pPr>
        <w:ind w:left="3600" w:hanging="360"/>
      </w:pPr>
      <w:rPr>
        <w:rFonts w:ascii="Symbol" w:hAnsi="Symbol" w:hint="default"/>
      </w:rPr>
    </w:lvl>
    <w:lvl w:ilvl="5" w:tplc="CD9A44DA">
      <w:start w:val="1"/>
      <w:numFmt w:val="bullet"/>
      <w:lvlText w:val="●"/>
      <w:lvlJc w:val="left"/>
      <w:pPr>
        <w:ind w:left="4320" w:hanging="360"/>
      </w:pPr>
      <w:rPr>
        <w:rFonts w:ascii="Symbol" w:hAnsi="Symbol" w:hint="default"/>
      </w:rPr>
    </w:lvl>
    <w:lvl w:ilvl="6" w:tplc="B2F4B66E">
      <w:numFmt w:val="decimal"/>
      <w:lvlText w:val=""/>
      <w:lvlJc w:val="left"/>
    </w:lvl>
    <w:lvl w:ilvl="7" w:tplc="4FF02BB2">
      <w:numFmt w:val="decimal"/>
      <w:lvlText w:val=""/>
      <w:lvlJc w:val="left"/>
    </w:lvl>
    <w:lvl w:ilvl="8" w:tplc="D43EEA52">
      <w:numFmt w:val="decimal"/>
      <w:lvlText w:val=""/>
      <w:lvlJc w:val="left"/>
    </w:lvl>
  </w:abstractNum>
  <w:abstractNum w:abstractNumId="5" w15:restartNumberingAfterBreak="0">
    <w:nsid w:val="99A08C17"/>
    <w:multiLevelType w:val="hybridMultilevel"/>
    <w:tmpl w:val="97E2236C"/>
    <w:lvl w:ilvl="0" w:tplc="33A479CA">
      <w:start w:val="1"/>
      <w:numFmt w:val="bullet"/>
      <w:lvlText w:val="●"/>
      <w:lvlJc w:val="left"/>
      <w:pPr>
        <w:ind w:left="720" w:hanging="360"/>
      </w:pPr>
      <w:rPr>
        <w:rFonts w:ascii="Symbol" w:hAnsi="Symbol" w:hint="default"/>
      </w:rPr>
    </w:lvl>
    <w:lvl w:ilvl="1" w:tplc="A3CE9A42">
      <w:start w:val="1"/>
      <w:numFmt w:val="bullet"/>
      <w:lvlText w:val="●"/>
      <w:lvlJc w:val="left"/>
      <w:pPr>
        <w:ind w:left="1440" w:hanging="360"/>
      </w:pPr>
      <w:rPr>
        <w:rFonts w:ascii="Symbol" w:hAnsi="Symbol" w:hint="default"/>
      </w:rPr>
    </w:lvl>
    <w:lvl w:ilvl="2" w:tplc="6546B17E">
      <w:start w:val="1"/>
      <w:numFmt w:val="bullet"/>
      <w:lvlText w:val="●"/>
      <w:lvlJc w:val="left"/>
      <w:pPr>
        <w:ind w:left="2160" w:hanging="360"/>
      </w:pPr>
      <w:rPr>
        <w:rFonts w:ascii="Symbol" w:hAnsi="Symbol" w:hint="default"/>
      </w:rPr>
    </w:lvl>
    <w:lvl w:ilvl="3" w:tplc="C9FC3CAC">
      <w:start w:val="1"/>
      <w:numFmt w:val="bullet"/>
      <w:lvlText w:val="●"/>
      <w:lvlJc w:val="left"/>
      <w:pPr>
        <w:ind w:left="2880" w:hanging="360"/>
      </w:pPr>
      <w:rPr>
        <w:rFonts w:ascii="Symbol" w:hAnsi="Symbol" w:hint="default"/>
      </w:rPr>
    </w:lvl>
    <w:lvl w:ilvl="4" w:tplc="DC9E4172">
      <w:start w:val="1"/>
      <w:numFmt w:val="bullet"/>
      <w:lvlText w:val="●"/>
      <w:lvlJc w:val="left"/>
      <w:pPr>
        <w:ind w:left="3600" w:hanging="360"/>
      </w:pPr>
      <w:rPr>
        <w:rFonts w:ascii="Symbol" w:hAnsi="Symbol" w:hint="default"/>
      </w:rPr>
    </w:lvl>
    <w:lvl w:ilvl="5" w:tplc="464E835A">
      <w:start w:val="1"/>
      <w:numFmt w:val="bullet"/>
      <w:lvlText w:val="●"/>
      <w:lvlJc w:val="left"/>
      <w:pPr>
        <w:ind w:left="4320" w:hanging="360"/>
      </w:pPr>
      <w:rPr>
        <w:rFonts w:ascii="Symbol" w:hAnsi="Symbol" w:hint="default"/>
      </w:rPr>
    </w:lvl>
    <w:lvl w:ilvl="6" w:tplc="A87040DC">
      <w:numFmt w:val="decimal"/>
      <w:lvlText w:val=""/>
      <w:lvlJc w:val="left"/>
    </w:lvl>
    <w:lvl w:ilvl="7" w:tplc="9BFED8EC">
      <w:numFmt w:val="decimal"/>
      <w:lvlText w:val=""/>
      <w:lvlJc w:val="left"/>
    </w:lvl>
    <w:lvl w:ilvl="8" w:tplc="5F362976">
      <w:numFmt w:val="decimal"/>
      <w:lvlText w:val=""/>
      <w:lvlJc w:val="left"/>
    </w:lvl>
  </w:abstractNum>
  <w:abstractNum w:abstractNumId="6" w15:restartNumberingAfterBreak="0">
    <w:nsid w:val="99A08C18"/>
    <w:multiLevelType w:val="hybridMultilevel"/>
    <w:tmpl w:val="E6C47F72"/>
    <w:lvl w:ilvl="0" w:tplc="B0B00196">
      <w:start w:val="1"/>
      <w:numFmt w:val="bullet"/>
      <w:lvlText w:val="●"/>
      <w:lvlJc w:val="left"/>
      <w:pPr>
        <w:ind w:left="720" w:hanging="360"/>
      </w:pPr>
      <w:rPr>
        <w:rFonts w:ascii="Symbol" w:hAnsi="Symbol" w:hint="default"/>
      </w:rPr>
    </w:lvl>
    <w:lvl w:ilvl="1" w:tplc="3FB47022">
      <w:start w:val="1"/>
      <w:numFmt w:val="bullet"/>
      <w:lvlText w:val="●"/>
      <w:lvlJc w:val="left"/>
      <w:pPr>
        <w:ind w:left="1440" w:hanging="360"/>
      </w:pPr>
      <w:rPr>
        <w:rFonts w:ascii="Symbol" w:hAnsi="Symbol" w:hint="default"/>
      </w:rPr>
    </w:lvl>
    <w:lvl w:ilvl="2" w:tplc="35DE08F4">
      <w:start w:val="1"/>
      <w:numFmt w:val="bullet"/>
      <w:lvlText w:val="●"/>
      <w:lvlJc w:val="left"/>
      <w:pPr>
        <w:ind w:left="2160" w:hanging="360"/>
      </w:pPr>
      <w:rPr>
        <w:rFonts w:ascii="Symbol" w:hAnsi="Symbol" w:hint="default"/>
      </w:rPr>
    </w:lvl>
    <w:lvl w:ilvl="3" w:tplc="BE626676">
      <w:start w:val="1"/>
      <w:numFmt w:val="bullet"/>
      <w:lvlText w:val="●"/>
      <w:lvlJc w:val="left"/>
      <w:pPr>
        <w:ind w:left="2880" w:hanging="360"/>
      </w:pPr>
      <w:rPr>
        <w:rFonts w:ascii="Symbol" w:hAnsi="Symbol" w:hint="default"/>
      </w:rPr>
    </w:lvl>
    <w:lvl w:ilvl="4" w:tplc="4BDC8D88">
      <w:start w:val="1"/>
      <w:numFmt w:val="bullet"/>
      <w:lvlText w:val="●"/>
      <w:lvlJc w:val="left"/>
      <w:pPr>
        <w:ind w:left="3600" w:hanging="360"/>
      </w:pPr>
      <w:rPr>
        <w:rFonts w:ascii="Symbol" w:hAnsi="Symbol" w:hint="default"/>
      </w:rPr>
    </w:lvl>
    <w:lvl w:ilvl="5" w:tplc="1DC08F1C">
      <w:start w:val="1"/>
      <w:numFmt w:val="bullet"/>
      <w:lvlText w:val="●"/>
      <w:lvlJc w:val="left"/>
      <w:pPr>
        <w:ind w:left="4320" w:hanging="360"/>
      </w:pPr>
      <w:rPr>
        <w:rFonts w:ascii="Symbol" w:hAnsi="Symbol" w:hint="default"/>
      </w:rPr>
    </w:lvl>
    <w:lvl w:ilvl="6" w:tplc="923A3F66">
      <w:numFmt w:val="decimal"/>
      <w:lvlText w:val=""/>
      <w:lvlJc w:val="left"/>
    </w:lvl>
    <w:lvl w:ilvl="7" w:tplc="BE5E8D80">
      <w:numFmt w:val="decimal"/>
      <w:lvlText w:val=""/>
      <w:lvlJc w:val="left"/>
    </w:lvl>
    <w:lvl w:ilvl="8" w:tplc="F28A24D2">
      <w:numFmt w:val="decimal"/>
      <w:lvlText w:val=""/>
      <w:lvlJc w:val="left"/>
    </w:lvl>
  </w:abstractNum>
  <w:abstractNum w:abstractNumId="7" w15:restartNumberingAfterBreak="0">
    <w:nsid w:val="099A08C1"/>
    <w:multiLevelType w:val="hybridMultilevel"/>
    <w:tmpl w:val="5C5E1018"/>
    <w:lvl w:ilvl="0" w:tplc="DFFC8728">
      <w:start w:val="1"/>
      <w:numFmt w:val="bullet"/>
      <w:pStyle w:val="ListParagraph"/>
      <w:lvlText w:val="●"/>
      <w:lvlJc w:val="left"/>
      <w:pPr>
        <w:ind w:left="720" w:hanging="360"/>
      </w:pPr>
      <w:rPr>
        <w:rFonts w:ascii="Symbol" w:hAnsi="Symbol" w:hint="default"/>
      </w:rPr>
    </w:lvl>
    <w:lvl w:ilvl="1" w:tplc="A6D02C06">
      <w:start w:val="1"/>
      <w:numFmt w:val="bullet"/>
      <w:lvlText w:val="●"/>
      <w:lvlJc w:val="left"/>
      <w:pPr>
        <w:ind w:left="1440" w:hanging="360"/>
      </w:pPr>
      <w:rPr>
        <w:rFonts w:ascii="Symbol" w:hAnsi="Symbol" w:hint="default"/>
      </w:rPr>
    </w:lvl>
    <w:lvl w:ilvl="2" w:tplc="45F07CFC">
      <w:start w:val="1"/>
      <w:numFmt w:val="bullet"/>
      <w:lvlText w:val="●"/>
      <w:lvlJc w:val="left"/>
      <w:pPr>
        <w:ind w:left="2160" w:hanging="360"/>
      </w:pPr>
      <w:rPr>
        <w:rFonts w:ascii="Symbol" w:hAnsi="Symbol" w:hint="default"/>
      </w:rPr>
    </w:lvl>
    <w:lvl w:ilvl="3" w:tplc="64742538">
      <w:start w:val="1"/>
      <w:numFmt w:val="bullet"/>
      <w:lvlText w:val="●"/>
      <w:lvlJc w:val="left"/>
      <w:pPr>
        <w:ind w:left="2880" w:hanging="360"/>
      </w:pPr>
      <w:rPr>
        <w:rFonts w:ascii="Symbol" w:hAnsi="Symbol" w:hint="default"/>
      </w:rPr>
    </w:lvl>
    <w:lvl w:ilvl="4" w:tplc="4ECC478C">
      <w:start w:val="1"/>
      <w:numFmt w:val="bullet"/>
      <w:lvlText w:val="●"/>
      <w:lvlJc w:val="left"/>
      <w:pPr>
        <w:ind w:left="3600" w:hanging="360"/>
      </w:pPr>
      <w:rPr>
        <w:rFonts w:ascii="Symbol" w:hAnsi="Symbol" w:hint="default"/>
      </w:rPr>
    </w:lvl>
    <w:lvl w:ilvl="5" w:tplc="52702C9E">
      <w:start w:val="1"/>
      <w:numFmt w:val="bullet"/>
      <w:lvlText w:val="●"/>
      <w:lvlJc w:val="left"/>
      <w:pPr>
        <w:ind w:left="4320" w:hanging="360"/>
      </w:pPr>
      <w:rPr>
        <w:rFonts w:ascii="Symbol" w:hAnsi="Symbol" w:hint="default"/>
      </w:rPr>
    </w:lvl>
    <w:lvl w:ilvl="6" w:tplc="F86C0FCA">
      <w:numFmt w:val="decimal"/>
      <w:lvlText w:val=""/>
      <w:lvlJc w:val="left"/>
    </w:lvl>
    <w:lvl w:ilvl="7" w:tplc="F9780540">
      <w:numFmt w:val="decimal"/>
      <w:lvlText w:val=""/>
      <w:lvlJc w:val="left"/>
    </w:lvl>
    <w:lvl w:ilvl="8" w:tplc="B07AE9E0">
      <w:numFmt w:val="decimal"/>
      <w:lvlText w:val=""/>
      <w:lvlJc w:val="left"/>
    </w:lvl>
  </w:abstractNum>
  <w:abstractNum w:abstractNumId="8" w15:restartNumberingAfterBreak="0">
    <w:nsid w:val="4D446480"/>
    <w:multiLevelType w:val="multilevel"/>
    <w:tmpl w:val="7C8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112886">
    <w:abstractNumId w:val="7"/>
  </w:num>
  <w:num w:numId="2" w16cid:durableId="890769859">
    <w:abstractNumId w:val="0"/>
  </w:num>
  <w:num w:numId="3" w16cid:durableId="736172968">
    <w:abstractNumId w:val="1"/>
  </w:num>
  <w:num w:numId="4" w16cid:durableId="725569747">
    <w:abstractNumId w:val="2"/>
  </w:num>
  <w:num w:numId="5" w16cid:durableId="19212171">
    <w:abstractNumId w:val="3"/>
  </w:num>
  <w:num w:numId="6" w16cid:durableId="969436912">
    <w:abstractNumId w:val="4"/>
  </w:num>
  <w:num w:numId="7" w16cid:durableId="1106191913">
    <w:abstractNumId w:val="5"/>
  </w:num>
  <w:num w:numId="8" w16cid:durableId="1018697106">
    <w:abstractNumId w:val="6"/>
  </w:num>
  <w:num w:numId="9" w16cid:durableId="503935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0"/>
    <w:rsid w:val="000869FE"/>
    <w:rsid w:val="00096FC5"/>
    <w:rsid w:val="00343E83"/>
    <w:rsid w:val="00536639"/>
    <w:rsid w:val="005D2567"/>
    <w:rsid w:val="009E6F90"/>
    <w:rsid w:val="00C02806"/>
    <w:rsid w:val="00FF34F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BFE32D7"/>
  <w15:chartTrackingRefBased/>
  <w15:docId w15:val="{165391B9-BFC5-324E-8423-055F0289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90"/>
    <w:pPr>
      <w:overflowPunct w:val="0"/>
      <w:autoSpaceDE w:val="0"/>
      <w:autoSpaceDN w:val="0"/>
      <w:adjustRightInd w:val="0"/>
    </w:pPr>
    <w:rPr>
      <w:rFonts w:ascii="Arial" w:eastAsia="Times New Roman" w:hAnsi="Arial" w:cs="Times New Roman"/>
      <w:sz w:val="18"/>
      <w:szCs w:val="20"/>
      <w:lang w:val="en-US" w:eastAsia="ja-JP"/>
    </w:rPr>
  </w:style>
  <w:style w:type="paragraph" w:styleId="Heading1">
    <w:name w:val="heading 1"/>
    <w:basedOn w:val="Normal"/>
    <w:link w:val="Heading1Char"/>
    <w:uiPriority w:val="9"/>
    <w:qFormat/>
    <w:rsid w:val="000869FE"/>
    <w:pPr>
      <w:overflowPunct/>
      <w:autoSpaceDE/>
      <w:autoSpaceDN/>
      <w:adjustRightInd/>
      <w:spacing w:before="100" w:beforeAutospacing="1" w:after="100" w:afterAutospacing="1"/>
      <w:outlineLvl w:val="0"/>
    </w:pPr>
    <w:rPr>
      <w:rFonts w:ascii="Times New Roman" w:hAnsi="Times New Roman"/>
      <w:b/>
      <w:bCs/>
      <w:kern w:val="36"/>
      <w:sz w:val="48"/>
      <w:szCs w:val="48"/>
      <w:lang w:val="en-SE" w:eastAsia="en-GB"/>
    </w:rPr>
  </w:style>
  <w:style w:type="paragraph" w:styleId="Heading3">
    <w:name w:val="heading 3"/>
    <w:basedOn w:val="Normal"/>
    <w:link w:val="Heading3Char"/>
    <w:uiPriority w:val="9"/>
    <w:qFormat/>
    <w:rsid w:val="000869FE"/>
    <w:pPr>
      <w:overflowPunct/>
      <w:autoSpaceDE/>
      <w:autoSpaceDN/>
      <w:adjustRightInd/>
      <w:spacing w:before="100" w:beforeAutospacing="1" w:after="100" w:afterAutospacing="1"/>
      <w:outlineLvl w:val="2"/>
    </w:pPr>
    <w:rPr>
      <w:rFonts w:ascii="Times New Roman" w:hAnsi="Times New Roman"/>
      <w:b/>
      <w:bCs/>
      <w:sz w:val="27"/>
      <w:szCs w:val="27"/>
      <w:lang w:val="en-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F90"/>
    <w:rPr>
      <w:color w:val="0563C1" w:themeColor="hyperlink"/>
      <w:u w:val="single"/>
    </w:rPr>
  </w:style>
  <w:style w:type="character" w:styleId="UnresolvedMention">
    <w:name w:val="Unresolved Mention"/>
    <w:basedOn w:val="DefaultParagraphFont"/>
    <w:uiPriority w:val="99"/>
    <w:semiHidden/>
    <w:unhideWhenUsed/>
    <w:rsid w:val="009E6F90"/>
    <w:rPr>
      <w:color w:val="605E5C"/>
      <w:shd w:val="clear" w:color="auto" w:fill="E1DFDD"/>
    </w:rPr>
  </w:style>
  <w:style w:type="paragraph" w:styleId="ListParagraph">
    <w:name w:val="List Paragraph"/>
    <w:basedOn w:val="Normal"/>
    <w:uiPriority w:val="34"/>
    <w:qFormat/>
    <w:rsid w:val="009E6F90"/>
    <w:pPr>
      <w:numPr>
        <w:numId w:val="1"/>
      </w:numPr>
      <w:spacing w:before="240" w:after="240"/>
    </w:pPr>
  </w:style>
  <w:style w:type="character" w:customStyle="1" w:styleId="Heading1Char">
    <w:name w:val="Heading 1 Char"/>
    <w:basedOn w:val="DefaultParagraphFont"/>
    <w:link w:val="Heading1"/>
    <w:uiPriority w:val="9"/>
    <w:rsid w:val="000869F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869FE"/>
    <w:rPr>
      <w:rFonts w:ascii="Times New Roman" w:eastAsia="Times New Roman" w:hAnsi="Times New Roman" w:cs="Times New Roman"/>
      <w:b/>
      <w:bCs/>
      <w:sz w:val="27"/>
      <w:szCs w:val="27"/>
      <w:lang w:eastAsia="en-GB"/>
    </w:rPr>
  </w:style>
  <w:style w:type="character" w:customStyle="1" w:styleId="field">
    <w:name w:val="field"/>
    <w:basedOn w:val="DefaultParagraphFont"/>
    <w:rsid w:val="000869FE"/>
  </w:style>
  <w:style w:type="character" w:customStyle="1" w:styleId="apple-converted-space">
    <w:name w:val="apple-converted-space"/>
    <w:basedOn w:val="DefaultParagraphFont"/>
    <w:rsid w:val="000869FE"/>
  </w:style>
  <w:style w:type="character" w:customStyle="1" w:styleId="node-date-type">
    <w:name w:val="node-date-type"/>
    <w:basedOn w:val="DefaultParagraphFont"/>
    <w:rsid w:val="000869FE"/>
  </w:style>
  <w:style w:type="character" w:customStyle="1" w:styleId="node-date-type-type">
    <w:name w:val="node-date-type-type"/>
    <w:basedOn w:val="DefaultParagraphFont"/>
    <w:rsid w:val="000869FE"/>
  </w:style>
  <w:style w:type="character" w:customStyle="1" w:styleId="a2akit">
    <w:name w:val="a2a_kit"/>
    <w:basedOn w:val="DefaultParagraphFont"/>
    <w:rsid w:val="000869FE"/>
  </w:style>
  <w:style w:type="character" w:customStyle="1" w:styleId="button-text">
    <w:name w:val="button-text"/>
    <w:basedOn w:val="DefaultParagraphFont"/>
    <w:rsid w:val="000869FE"/>
  </w:style>
  <w:style w:type="paragraph" w:styleId="NormalWeb">
    <w:name w:val="Normal (Web)"/>
    <w:basedOn w:val="Normal"/>
    <w:uiPriority w:val="99"/>
    <w:unhideWhenUsed/>
    <w:rsid w:val="000869FE"/>
    <w:pPr>
      <w:overflowPunct/>
      <w:autoSpaceDE/>
      <w:autoSpaceDN/>
      <w:adjustRightInd/>
      <w:spacing w:before="100" w:beforeAutospacing="1" w:after="100" w:afterAutospacing="1"/>
    </w:pPr>
    <w:rPr>
      <w:rFonts w:ascii="Times New Roman" w:hAnsi="Times New Roman"/>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56">
      <w:bodyDiv w:val="1"/>
      <w:marLeft w:val="0"/>
      <w:marRight w:val="0"/>
      <w:marTop w:val="0"/>
      <w:marBottom w:val="0"/>
      <w:divBdr>
        <w:top w:val="none" w:sz="0" w:space="0" w:color="auto"/>
        <w:left w:val="none" w:sz="0" w:space="0" w:color="auto"/>
        <w:bottom w:val="none" w:sz="0" w:space="0" w:color="auto"/>
        <w:right w:val="none" w:sz="0" w:space="0" w:color="auto"/>
      </w:divBdr>
      <w:divsChild>
        <w:div w:id="584071382">
          <w:marLeft w:val="0"/>
          <w:marRight w:val="0"/>
          <w:marTop w:val="0"/>
          <w:marBottom w:val="0"/>
          <w:divBdr>
            <w:top w:val="none" w:sz="0" w:space="0" w:color="auto"/>
            <w:left w:val="none" w:sz="0" w:space="0" w:color="auto"/>
            <w:bottom w:val="none" w:sz="0" w:space="0" w:color="auto"/>
            <w:right w:val="none" w:sz="0" w:space="0" w:color="auto"/>
          </w:divBdr>
          <w:divsChild>
            <w:div w:id="745031369">
              <w:marLeft w:val="0"/>
              <w:marRight w:val="0"/>
              <w:marTop w:val="0"/>
              <w:marBottom w:val="1050"/>
              <w:divBdr>
                <w:top w:val="none" w:sz="0" w:space="0" w:color="auto"/>
                <w:left w:val="none" w:sz="0" w:space="0" w:color="auto"/>
                <w:bottom w:val="none" w:sz="0" w:space="0" w:color="auto"/>
                <w:right w:val="none" w:sz="0" w:space="0" w:color="auto"/>
              </w:divBdr>
              <w:divsChild>
                <w:div w:id="1612054876">
                  <w:marLeft w:val="0"/>
                  <w:marRight w:val="0"/>
                  <w:marTop w:val="0"/>
                  <w:marBottom w:val="0"/>
                  <w:divBdr>
                    <w:top w:val="none" w:sz="0" w:space="0" w:color="auto"/>
                    <w:left w:val="none" w:sz="0" w:space="0" w:color="auto"/>
                    <w:bottom w:val="none" w:sz="0" w:space="0" w:color="auto"/>
                    <w:right w:val="none" w:sz="0" w:space="0" w:color="auto"/>
                  </w:divBdr>
                  <w:divsChild>
                    <w:div w:id="150026127">
                      <w:marLeft w:val="0"/>
                      <w:marRight w:val="0"/>
                      <w:marTop w:val="0"/>
                      <w:marBottom w:val="450"/>
                      <w:divBdr>
                        <w:top w:val="none" w:sz="0" w:space="0" w:color="auto"/>
                        <w:left w:val="none" w:sz="0" w:space="0" w:color="auto"/>
                        <w:bottom w:val="none" w:sz="0" w:space="0" w:color="auto"/>
                        <w:right w:val="none" w:sz="0" w:space="0" w:color="auto"/>
                      </w:divBdr>
                    </w:div>
                    <w:div w:id="119152781">
                      <w:marLeft w:val="0"/>
                      <w:marRight w:val="0"/>
                      <w:marTop w:val="0"/>
                      <w:marBottom w:val="450"/>
                      <w:divBdr>
                        <w:top w:val="none" w:sz="0" w:space="0" w:color="auto"/>
                        <w:left w:val="none" w:sz="0" w:space="0" w:color="auto"/>
                        <w:bottom w:val="none" w:sz="0" w:space="0" w:color="auto"/>
                        <w:right w:val="none" w:sz="0" w:space="0" w:color="auto"/>
                      </w:divBdr>
                    </w:div>
                    <w:div w:id="1981035299">
                      <w:marLeft w:val="0"/>
                      <w:marRight w:val="0"/>
                      <w:marTop w:val="450"/>
                      <w:marBottom w:val="0"/>
                      <w:divBdr>
                        <w:top w:val="none" w:sz="0" w:space="0" w:color="auto"/>
                        <w:left w:val="none" w:sz="0" w:space="0" w:color="auto"/>
                        <w:bottom w:val="none" w:sz="0" w:space="0" w:color="auto"/>
                        <w:right w:val="none" w:sz="0" w:space="0" w:color="auto"/>
                      </w:divBdr>
                      <w:divsChild>
                        <w:div w:id="331377558">
                          <w:marLeft w:val="0"/>
                          <w:marRight w:val="0"/>
                          <w:marTop w:val="0"/>
                          <w:marBottom w:val="450"/>
                          <w:divBdr>
                            <w:top w:val="none" w:sz="0" w:space="0" w:color="auto"/>
                            <w:left w:val="none" w:sz="0" w:space="0" w:color="auto"/>
                            <w:bottom w:val="none" w:sz="0" w:space="0" w:color="auto"/>
                            <w:right w:val="none" w:sz="0" w:space="0" w:color="auto"/>
                          </w:divBdr>
                          <w:divsChild>
                            <w:div w:id="1290891005">
                              <w:marLeft w:val="0"/>
                              <w:marRight w:val="0"/>
                              <w:marTop w:val="0"/>
                              <w:marBottom w:val="75"/>
                              <w:divBdr>
                                <w:top w:val="none" w:sz="0" w:space="0" w:color="auto"/>
                                <w:left w:val="none" w:sz="0" w:space="0" w:color="auto"/>
                                <w:bottom w:val="none" w:sz="0" w:space="0" w:color="auto"/>
                                <w:right w:val="none" w:sz="0" w:space="0" w:color="auto"/>
                              </w:divBdr>
                            </w:div>
                            <w:div w:id="2115860435">
                              <w:marLeft w:val="0"/>
                              <w:marRight w:val="0"/>
                              <w:marTop w:val="0"/>
                              <w:marBottom w:val="0"/>
                              <w:divBdr>
                                <w:top w:val="none" w:sz="0" w:space="0" w:color="auto"/>
                                <w:left w:val="none" w:sz="0" w:space="0" w:color="auto"/>
                                <w:bottom w:val="none" w:sz="0" w:space="0" w:color="auto"/>
                                <w:right w:val="none" w:sz="0" w:space="0" w:color="auto"/>
                              </w:divBdr>
                            </w:div>
                          </w:divsChild>
                        </w:div>
                        <w:div w:id="861087316">
                          <w:marLeft w:val="0"/>
                          <w:marRight w:val="0"/>
                          <w:marTop w:val="0"/>
                          <w:marBottom w:val="450"/>
                          <w:divBdr>
                            <w:top w:val="none" w:sz="0" w:space="0" w:color="auto"/>
                            <w:left w:val="none" w:sz="0" w:space="0" w:color="auto"/>
                            <w:bottom w:val="none" w:sz="0" w:space="0" w:color="auto"/>
                            <w:right w:val="none" w:sz="0" w:space="0" w:color="auto"/>
                          </w:divBdr>
                          <w:divsChild>
                            <w:div w:id="2143378099">
                              <w:marLeft w:val="0"/>
                              <w:marRight w:val="0"/>
                              <w:marTop w:val="0"/>
                              <w:marBottom w:val="75"/>
                              <w:divBdr>
                                <w:top w:val="none" w:sz="0" w:space="0" w:color="auto"/>
                                <w:left w:val="none" w:sz="0" w:space="0" w:color="auto"/>
                                <w:bottom w:val="none" w:sz="0" w:space="0" w:color="auto"/>
                                <w:right w:val="none" w:sz="0" w:space="0" w:color="auto"/>
                              </w:divBdr>
                            </w:div>
                            <w:div w:id="826630052">
                              <w:marLeft w:val="0"/>
                              <w:marRight w:val="0"/>
                              <w:marTop w:val="0"/>
                              <w:marBottom w:val="0"/>
                              <w:divBdr>
                                <w:top w:val="none" w:sz="0" w:space="0" w:color="auto"/>
                                <w:left w:val="none" w:sz="0" w:space="0" w:color="auto"/>
                                <w:bottom w:val="none" w:sz="0" w:space="0" w:color="auto"/>
                                <w:right w:val="none" w:sz="0" w:space="0" w:color="auto"/>
                              </w:divBdr>
                            </w:div>
                          </w:divsChild>
                        </w:div>
                        <w:div w:id="882640369">
                          <w:marLeft w:val="0"/>
                          <w:marRight w:val="0"/>
                          <w:marTop w:val="0"/>
                          <w:marBottom w:val="450"/>
                          <w:divBdr>
                            <w:top w:val="none" w:sz="0" w:space="0" w:color="auto"/>
                            <w:left w:val="none" w:sz="0" w:space="0" w:color="auto"/>
                            <w:bottom w:val="none" w:sz="0" w:space="0" w:color="auto"/>
                            <w:right w:val="none" w:sz="0" w:space="0" w:color="auto"/>
                          </w:divBdr>
                          <w:divsChild>
                            <w:div w:id="1738212103">
                              <w:marLeft w:val="0"/>
                              <w:marRight w:val="0"/>
                              <w:marTop w:val="0"/>
                              <w:marBottom w:val="75"/>
                              <w:divBdr>
                                <w:top w:val="none" w:sz="0" w:space="0" w:color="auto"/>
                                <w:left w:val="none" w:sz="0" w:space="0" w:color="auto"/>
                                <w:bottom w:val="none" w:sz="0" w:space="0" w:color="auto"/>
                                <w:right w:val="none" w:sz="0" w:space="0" w:color="auto"/>
                              </w:divBdr>
                            </w:div>
                            <w:div w:id="1988512724">
                              <w:marLeft w:val="0"/>
                              <w:marRight w:val="0"/>
                              <w:marTop w:val="0"/>
                              <w:marBottom w:val="0"/>
                              <w:divBdr>
                                <w:top w:val="none" w:sz="0" w:space="0" w:color="auto"/>
                                <w:left w:val="none" w:sz="0" w:space="0" w:color="auto"/>
                                <w:bottom w:val="none" w:sz="0" w:space="0" w:color="auto"/>
                                <w:right w:val="none" w:sz="0" w:space="0" w:color="auto"/>
                              </w:divBdr>
                              <w:divsChild>
                                <w:div w:id="643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579">
                          <w:marLeft w:val="0"/>
                          <w:marRight w:val="0"/>
                          <w:marTop w:val="450"/>
                          <w:marBottom w:val="0"/>
                          <w:divBdr>
                            <w:top w:val="none" w:sz="0" w:space="0" w:color="auto"/>
                            <w:left w:val="none" w:sz="0" w:space="0" w:color="auto"/>
                            <w:bottom w:val="none" w:sz="0" w:space="0" w:color="auto"/>
                            <w:right w:val="none" w:sz="0" w:space="0" w:color="auto"/>
                          </w:divBdr>
                          <w:divsChild>
                            <w:div w:id="179861541">
                              <w:marLeft w:val="0"/>
                              <w:marRight w:val="0"/>
                              <w:marTop w:val="0"/>
                              <w:marBottom w:val="75"/>
                              <w:divBdr>
                                <w:top w:val="none" w:sz="0" w:space="0" w:color="auto"/>
                                <w:left w:val="none" w:sz="0" w:space="0" w:color="auto"/>
                                <w:bottom w:val="none" w:sz="0" w:space="0" w:color="auto"/>
                                <w:right w:val="none" w:sz="0" w:space="0" w:color="auto"/>
                              </w:divBdr>
                            </w:div>
                            <w:div w:id="660937353">
                              <w:marLeft w:val="0"/>
                              <w:marRight w:val="0"/>
                              <w:marTop w:val="0"/>
                              <w:marBottom w:val="0"/>
                              <w:divBdr>
                                <w:top w:val="none" w:sz="0" w:space="0" w:color="auto"/>
                                <w:left w:val="none" w:sz="0" w:space="0" w:color="auto"/>
                                <w:bottom w:val="none" w:sz="0" w:space="0" w:color="auto"/>
                                <w:right w:val="none" w:sz="0" w:space="0" w:color="auto"/>
                              </w:divBdr>
                              <w:divsChild>
                                <w:div w:id="1638687139">
                                  <w:marLeft w:val="0"/>
                                  <w:marRight w:val="0"/>
                                  <w:marTop w:val="0"/>
                                  <w:marBottom w:val="0"/>
                                  <w:divBdr>
                                    <w:top w:val="none" w:sz="0" w:space="0" w:color="auto"/>
                                    <w:left w:val="none" w:sz="0" w:space="0" w:color="auto"/>
                                    <w:bottom w:val="none" w:sz="0" w:space="0" w:color="auto"/>
                                    <w:right w:val="none" w:sz="0" w:space="0" w:color="auto"/>
                                  </w:divBdr>
                                </w:div>
                                <w:div w:id="1020739468">
                                  <w:marLeft w:val="0"/>
                                  <w:marRight w:val="0"/>
                                  <w:marTop w:val="0"/>
                                  <w:marBottom w:val="0"/>
                                  <w:divBdr>
                                    <w:top w:val="none" w:sz="0" w:space="0" w:color="auto"/>
                                    <w:left w:val="none" w:sz="0" w:space="0" w:color="auto"/>
                                    <w:bottom w:val="none" w:sz="0" w:space="0" w:color="auto"/>
                                    <w:right w:val="none" w:sz="0" w:space="0" w:color="auto"/>
                                  </w:divBdr>
                                </w:div>
                                <w:div w:id="1869181097">
                                  <w:marLeft w:val="0"/>
                                  <w:marRight w:val="0"/>
                                  <w:marTop w:val="0"/>
                                  <w:marBottom w:val="0"/>
                                  <w:divBdr>
                                    <w:top w:val="none" w:sz="0" w:space="0" w:color="auto"/>
                                    <w:left w:val="none" w:sz="0" w:space="0" w:color="auto"/>
                                    <w:bottom w:val="none" w:sz="0" w:space="0" w:color="auto"/>
                                    <w:right w:val="none" w:sz="0" w:space="0" w:color="auto"/>
                                  </w:divBdr>
                                </w:div>
                                <w:div w:id="792752269">
                                  <w:marLeft w:val="0"/>
                                  <w:marRight w:val="0"/>
                                  <w:marTop w:val="0"/>
                                  <w:marBottom w:val="0"/>
                                  <w:divBdr>
                                    <w:top w:val="none" w:sz="0" w:space="0" w:color="auto"/>
                                    <w:left w:val="none" w:sz="0" w:space="0" w:color="auto"/>
                                    <w:bottom w:val="none" w:sz="0" w:space="0" w:color="auto"/>
                                    <w:right w:val="none" w:sz="0" w:space="0" w:color="auto"/>
                                  </w:divBdr>
                                </w:div>
                                <w:div w:id="2096702282">
                                  <w:marLeft w:val="0"/>
                                  <w:marRight w:val="0"/>
                                  <w:marTop w:val="0"/>
                                  <w:marBottom w:val="0"/>
                                  <w:divBdr>
                                    <w:top w:val="none" w:sz="0" w:space="0" w:color="auto"/>
                                    <w:left w:val="none" w:sz="0" w:space="0" w:color="auto"/>
                                    <w:bottom w:val="none" w:sz="0" w:space="0" w:color="auto"/>
                                    <w:right w:val="none" w:sz="0" w:space="0" w:color="auto"/>
                                  </w:divBdr>
                                </w:div>
                                <w:div w:id="1849712309">
                                  <w:marLeft w:val="0"/>
                                  <w:marRight w:val="0"/>
                                  <w:marTop w:val="0"/>
                                  <w:marBottom w:val="0"/>
                                  <w:divBdr>
                                    <w:top w:val="none" w:sz="0" w:space="0" w:color="auto"/>
                                    <w:left w:val="none" w:sz="0" w:space="0" w:color="auto"/>
                                    <w:bottom w:val="none" w:sz="0" w:space="0" w:color="auto"/>
                                    <w:right w:val="none" w:sz="0" w:space="0" w:color="auto"/>
                                  </w:divBdr>
                                </w:div>
                                <w:div w:id="2000839397">
                                  <w:marLeft w:val="0"/>
                                  <w:marRight w:val="0"/>
                                  <w:marTop w:val="0"/>
                                  <w:marBottom w:val="0"/>
                                  <w:divBdr>
                                    <w:top w:val="none" w:sz="0" w:space="0" w:color="auto"/>
                                    <w:left w:val="none" w:sz="0" w:space="0" w:color="auto"/>
                                    <w:bottom w:val="none" w:sz="0" w:space="0" w:color="auto"/>
                                    <w:right w:val="none" w:sz="0" w:space="0" w:color="auto"/>
                                  </w:divBdr>
                                </w:div>
                                <w:div w:id="5893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4351">
                      <w:marLeft w:val="0"/>
                      <w:marRight w:val="0"/>
                      <w:marTop w:val="0"/>
                      <w:marBottom w:val="0"/>
                      <w:divBdr>
                        <w:top w:val="none" w:sz="0" w:space="0" w:color="auto"/>
                        <w:left w:val="none" w:sz="0" w:space="0" w:color="auto"/>
                        <w:bottom w:val="none" w:sz="0" w:space="0" w:color="auto"/>
                        <w:right w:val="none" w:sz="0" w:space="0" w:color="auto"/>
                      </w:divBdr>
                      <w:divsChild>
                        <w:div w:id="1728455260">
                          <w:marLeft w:val="0"/>
                          <w:marRight w:val="0"/>
                          <w:marTop w:val="0"/>
                          <w:marBottom w:val="0"/>
                          <w:divBdr>
                            <w:top w:val="none" w:sz="0" w:space="0" w:color="auto"/>
                            <w:left w:val="none" w:sz="0" w:space="0" w:color="auto"/>
                            <w:bottom w:val="none" w:sz="0" w:space="0" w:color="auto"/>
                            <w:right w:val="none" w:sz="0" w:space="0" w:color="auto"/>
                          </w:divBdr>
                          <w:divsChild>
                            <w:div w:id="14933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HL-20-814.html" TargetMode="External"/><Relationship Id="rId18" Type="http://schemas.openxmlformats.org/officeDocument/2006/relationships/hyperlink" Target="https://www.alz.org/research/for_researchers/grants/types-of-grants/alzheimers-association-world-wide-fingers-network" TargetMode="External"/><Relationship Id="rId26" Type="http://schemas.openxmlformats.org/officeDocument/2006/relationships/hyperlink" Target="https://www.brightfocus.org/grants/types-grants" TargetMode="External"/><Relationship Id="rId39" Type="http://schemas.openxmlformats.org/officeDocument/2006/relationships/hyperlink" Target="https://pivot.proquest.com/funding/results?quick_search=true&amp;sponsorId=%22e30bfadb-8101-48be-986f-d1d75de8f0f3%22&amp;sponsorParentId=%22e30bfadb-8101-48be-986f-d1d75de8f0f3%22" TargetMode="External"/><Relationship Id="rId21" Type="http://schemas.openxmlformats.org/officeDocument/2006/relationships/hyperlink" Target="https://grantcenter.jdrf.org/rfa/collaborative-advancement-of-cures-for-t1d/" TargetMode="External"/><Relationship Id="rId34" Type="http://schemas.openxmlformats.org/officeDocument/2006/relationships/hyperlink" Target="https://www.gbs-cidp.org/research/" TargetMode="External"/><Relationship Id="rId42" Type="http://schemas.openxmlformats.org/officeDocument/2006/relationships/hyperlink" Target="https://novonordiskfonden.dk/da/grants/distinguished-innovator-grant-fall-2022/" TargetMode="External"/><Relationship Id="rId47" Type="http://schemas.openxmlformats.org/officeDocument/2006/relationships/hyperlink" Target="https://pivot.proquest.com/funding/results?quick_search=true&amp;sponsorId=%22795f4be6-ae4c-4606-ab20-d1d75de8f0f3%22&amp;sponsorParentId=%22795f4be6-ae4c-4606-ab20-d1d75de8f0f3%22" TargetMode="External"/><Relationship Id="rId50" Type="http://schemas.openxmlformats.org/officeDocument/2006/relationships/hyperlink" Target="mailto:miia.hakkinen@tukes.fi" TargetMode="External"/><Relationship Id="rId7" Type="http://schemas.openxmlformats.org/officeDocument/2006/relationships/hyperlink" Target="https://www.ecco-ibd.eu/science/fellowships-and-grants.html" TargetMode="External"/><Relationship Id="rId2" Type="http://schemas.openxmlformats.org/officeDocument/2006/relationships/styles" Target="styles.xml"/><Relationship Id="rId16" Type="http://schemas.openxmlformats.org/officeDocument/2006/relationships/hyperlink" Target="https://pivot.proquest.com/funding/results?quick_search=true&amp;sponsorId=%228a08ea98-db86-4acb-8b95-d1d75de8f0f3%22&amp;sponsorParentId=%228a08ea98-db86-4acb-8b95-d1d75de8f0f3%22" TargetMode="External"/><Relationship Id="rId29" Type="http://schemas.openxmlformats.org/officeDocument/2006/relationships/hyperlink" Target="https://pivot.proquest.com/funding/results?quick_search=true&amp;sponsorId=%228a08ea98-db86-4acb-8b95-d1d75de8f0f3%22&amp;sponsorParentId=%228a08ea98-db86-4acb-8b95-d1d75de8f0f3%22" TargetMode="External"/><Relationship Id="rId11" Type="http://schemas.openxmlformats.org/officeDocument/2006/relationships/hyperlink" Target="https://pivot.proquest.com/funding/results?quick_search=true&amp;sponsorId=%22b54bf3fb-6b18-4a7c-83d4-d1d75de8f0f3%22&amp;sponsorParentId=%22b54bf3fb-6b18-4a7c-83d4-d1d75de8f0f3%22" TargetMode="External"/><Relationship Id="rId24" Type="http://schemas.openxmlformats.org/officeDocument/2006/relationships/hyperlink" Target="https://www.brightfocus.org/grants/types-grants" TargetMode="External"/><Relationship Id="rId32" Type="http://schemas.openxmlformats.org/officeDocument/2006/relationships/hyperlink" Target="https://pivot.proquest.com/funding/results?quick_search=true&amp;sponsorId=%22dbd14e2d-7239-43a0-a9e9-d1d75de8f0f3%22&amp;sponsorParentId=%22dbd14e2d-7239-43a0-a9e9-d1d75de8f0f3%22" TargetMode="External"/><Relationship Id="rId37" Type="http://schemas.openxmlformats.org/officeDocument/2006/relationships/hyperlink" Target="https://grants.nih.gov/grants/guide/rfa-files/RFA-DK-22-023.html" TargetMode="External"/><Relationship Id="rId40" Type="http://schemas.openxmlformats.org/officeDocument/2006/relationships/hyperlink" Target="https://pivot.proquest.com/funding/results?quick_search=true&amp;sponsorId=%228a08ea98-db86-4acb-8b95-d1d75de8f0f3%22&amp;sponsorParentId=%228a08ea98-db86-4acb-8b95-d1d75de8f0f3%22" TargetMode="External"/><Relationship Id="rId45" Type="http://schemas.openxmlformats.org/officeDocument/2006/relationships/hyperlink" Target="https://www.arvo.org/arvo-foundation/what-we-fund/awards-grants-and-fellowships/mallinckrodt-uveitis-research-fellowship/" TargetMode="External"/><Relationship Id="rId53" Type="http://schemas.openxmlformats.org/officeDocument/2006/relationships/theme" Target="theme/theme1.xml"/><Relationship Id="rId5" Type="http://schemas.openxmlformats.org/officeDocument/2006/relationships/hyperlink" Target="https://pivot.proquest.com/funding/results?quick_search=true&amp;sponsorId=%221b3913af-a2cb-4004-a635-d1d75de8f0f3%22&amp;sponsorParentId=%221b3913af-a2cb-4004-a635-d1d75de8f0f3%22" TargetMode="External"/><Relationship Id="rId10" Type="http://schemas.openxmlformats.org/officeDocument/2006/relationships/hyperlink" Target="https://cms.aesnet.org/research-funding/funding/established/seed-grants" TargetMode="External"/><Relationship Id="rId19" Type="http://schemas.openxmlformats.org/officeDocument/2006/relationships/hyperlink" Target="https://pivot.proquest.com/funding/results?quick_search=true&amp;sponsorId=%229f5d628f-7e99-4701-a66e-d1d75de8f0f3%22&amp;sponsorParentId=%229f5d628f-7e99-4701-a66e-d1d75de8f0f3%22" TargetMode="External"/><Relationship Id="rId31" Type="http://schemas.openxmlformats.org/officeDocument/2006/relationships/hyperlink" Target="http://www.fibrosicisticaricerca.it/area-ricercatori/" TargetMode="External"/><Relationship Id="rId44" Type="http://schemas.openxmlformats.org/officeDocument/2006/relationships/hyperlink" Target="https://novonordiskfonden.dk/da/grants/distinguished-innovator-grant-fall-202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co-ibd.eu/science/fellowships-and-grants.html" TargetMode="External"/><Relationship Id="rId14" Type="http://schemas.openxmlformats.org/officeDocument/2006/relationships/hyperlink" Target="https://pivot.proquest.com/funding/results?quick_search=true&amp;sponsorId=%22db26bb37-5a1b-42d8-b9b9-d1d75de8f0f3%22&amp;sponsorParentId=%22db26bb37-5a1b-42d8-b9b9-d1d75de8f0f3%22" TargetMode="External"/><Relationship Id="rId22" Type="http://schemas.openxmlformats.org/officeDocument/2006/relationships/hyperlink" Target="https://pivot.proquest.com/funding/results?quick_search=true&amp;sponsorId=%223aa09976-02e4-458f-bd86-d1d75de8f0f3%22&amp;sponsorParentId=%223aa09976-02e4-458f-bd86-d1d75de8f0f3%22" TargetMode="External"/><Relationship Id="rId27" Type="http://schemas.openxmlformats.org/officeDocument/2006/relationships/hyperlink" Target="https://grants.nih.gov/grants/guide/notice-files/NOT-OD-22-179.html" TargetMode="External"/><Relationship Id="rId30" Type="http://schemas.openxmlformats.org/officeDocument/2006/relationships/hyperlink" Target="https://grants.nih.gov/grants/guide/notice-files/NOT-OD-22-179.html" TargetMode="External"/><Relationship Id="rId35" Type="http://schemas.openxmlformats.org/officeDocument/2006/relationships/hyperlink" Target="https://pivot.proquest.com/funding/results?quick_search=true&amp;sponsorId=%223a065f99-8da1-4180-a11b-d1d75de8f0f3%22&amp;sponsorParentId=%223a065f99-8da1-4180-a11b-d1d75de8f0f3%22" TargetMode="External"/><Relationship Id="rId43" Type="http://schemas.openxmlformats.org/officeDocument/2006/relationships/hyperlink" Target="https://pivot.proquest.com/funding/results?quick_search=true&amp;sponsorId=%22eca3bd7f-50a6-4112-8b11-d1d75de8f0f3%22&amp;sponsorParentId=%22eca3bd7f-50a6-4112-8b11-d1d75de8f0f3%22" TargetMode="External"/><Relationship Id="rId48" Type="http://schemas.openxmlformats.org/officeDocument/2006/relationships/hyperlink" Target="https://www.arvo.org/arvo-foundation/what-we-fund/awards-grants-and-fellowships/mallinckrodt-uveitis-research-fellowship/" TargetMode="External"/><Relationship Id="rId8" Type="http://schemas.openxmlformats.org/officeDocument/2006/relationships/hyperlink" Target="https://pivot.proquest.com/funding/results?quick_search=true&amp;sponsorId=%22aee75c87-4a03-4696-a8bc-d1d75de8f0f3%22&amp;sponsorParentId=%22aee75c87-4a03-4696-a8bc-d1d75de8f0f3%22" TargetMode="External"/><Relationship Id="rId51" Type="http://schemas.openxmlformats.org/officeDocument/2006/relationships/hyperlink" Target="https://www.norden.org/sv/node/80106" TargetMode="External"/><Relationship Id="rId3" Type="http://schemas.openxmlformats.org/officeDocument/2006/relationships/settings" Target="settings.xml"/><Relationship Id="rId12" Type="http://schemas.openxmlformats.org/officeDocument/2006/relationships/hyperlink" Target="https://cms.aesnet.org/research-funding/funding/established/seed-grants" TargetMode="External"/><Relationship Id="rId17" Type="http://schemas.openxmlformats.org/officeDocument/2006/relationships/hyperlink" Target="https://grants.nih.gov/grants/guide/notice-files/NOT-HL-20-814.html" TargetMode="External"/><Relationship Id="rId25" Type="http://schemas.openxmlformats.org/officeDocument/2006/relationships/hyperlink" Target="https://pivot.proquest.com/funding/results?quick_search=true&amp;sponsorId=%220d01a866-8243-474c-a3cd-d1d75de8f0f3%22&amp;sponsorParentId=%220d01a866-8243-474c-a3cd-d1d75de8f0f3%22" TargetMode="External"/><Relationship Id="rId33" Type="http://schemas.openxmlformats.org/officeDocument/2006/relationships/hyperlink" Target="http://www.fibrosicisticaricerca.it/area-ricercatori/" TargetMode="External"/><Relationship Id="rId38" Type="http://schemas.openxmlformats.org/officeDocument/2006/relationships/hyperlink" Target="https://pivot.proquest.com/funding/results?quick_search=true&amp;sponsorId=%22c0a89b19-acd2-4382-9038-d1d75de8f0f3%22&amp;sponsorParentId=%22c0a89b19-acd2-4382-9038-d1d75de8f0f3%22" TargetMode="External"/><Relationship Id="rId46" Type="http://schemas.openxmlformats.org/officeDocument/2006/relationships/hyperlink" Target="https://pivot.proquest.com/funding/results?quick_search=true&amp;sponsorId=%227b8f7d9b-0559-4d8e-a3f6-d1d75de8f0f3%22&amp;sponsorParentId=%227b8f7d9b-0559-4d8e-a3f6-d1d75de8f0f3%22" TargetMode="External"/><Relationship Id="rId20" Type="http://schemas.openxmlformats.org/officeDocument/2006/relationships/hyperlink" Target="https://www.alz.org/research/for_researchers/grants/types-of-grants/alzheimers-association-world-wide-fingers-network" TargetMode="External"/><Relationship Id="rId41" Type="http://schemas.openxmlformats.org/officeDocument/2006/relationships/hyperlink" Target="https://grants.nih.gov/grants/guide/rfa-files/RFA-DK-22-023.html" TargetMode="External"/><Relationship Id="rId1" Type="http://schemas.openxmlformats.org/officeDocument/2006/relationships/numbering" Target="numbering.xml"/><Relationship Id="rId6" Type="http://schemas.openxmlformats.org/officeDocument/2006/relationships/hyperlink" Target="https://www.crohnscolitisfoundation.org/research/grants-fellowships/ibd-plexus" TargetMode="External"/><Relationship Id="rId15" Type="http://schemas.openxmlformats.org/officeDocument/2006/relationships/hyperlink" Target="https://pivot.proquest.com/funding/results?quick_search=true&amp;sponsorId=%22e30bfadb-8101-48be-986f-d1d75de8f0f3%22&amp;sponsorParentId=%22e30bfadb-8101-48be-986f-d1d75de8f0f3%22" TargetMode="External"/><Relationship Id="rId23" Type="http://schemas.openxmlformats.org/officeDocument/2006/relationships/hyperlink" Target="https://grantcenter.jdrf.org/rfa/collaborative-advancement-of-cures-for-t1d/" TargetMode="External"/><Relationship Id="rId28" Type="http://schemas.openxmlformats.org/officeDocument/2006/relationships/hyperlink" Target="https://pivot.proquest.com/funding/results?quick_search=true&amp;sponsorId=%22e30bfadb-8101-48be-986f-d1d75de8f0f3%22&amp;sponsorParentId=%22e30bfadb-8101-48be-986f-d1d75de8f0f3%22" TargetMode="External"/><Relationship Id="rId36" Type="http://schemas.openxmlformats.org/officeDocument/2006/relationships/hyperlink" Target="https://www.gbs-cidp.org/research/" TargetMode="External"/><Relationship Id="rId49" Type="http://schemas.openxmlformats.org/officeDocument/2006/relationships/hyperlink" Target="https://www.norden.org/en/organisation/nordic-working-group-chemicals-environment-and-health-n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Marshall-Heyman</dc:creator>
  <cp:keywords/>
  <dc:description/>
  <cp:lastModifiedBy>Heather Marshall-Heyman</cp:lastModifiedBy>
  <cp:revision>3</cp:revision>
  <dcterms:created xsi:type="dcterms:W3CDTF">2023-04-28T11:26:00Z</dcterms:created>
  <dcterms:modified xsi:type="dcterms:W3CDTF">2023-04-28T12:30:00Z</dcterms:modified>
</cp:coreProperties>
</file>